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E0" w:rsidRPr="00EC5079" w:rsidRDefault="00FD3EE0" w:rsidP="003F3C6D">
      <w:pPr>
        <w:spacing w:after="0" w:line="240" w:lineRule="auto"/>
        <w:rPr>
          <w:rFonts w:ascii="Times New Roman" w:hAnsi="Times New Roman" w:cs="Times New Roman"/>
          <w:b/>
          <w:sz w:val="18"/>
          <w:szCs w:val="24"/>
        </w:rPr>
      </w:pPr>
      <w:r w:rsidRPr="00EC5079">
        <w:rPr>
          <w:rFonts w:ascii="Times New Roman" w:hAnsi="Times New Roman" w:cs="Times New Roman"/>
          <w:b/>
          <w:sz w:val="18"/>
          <w:szCs w:val="24"/>
        </w:rPr>
        <w:t>RECURSO EXTRAORDINARIO POR INFRACCION PROCESAL Y CASACION POR INTERES CASACIONAL</w:t>
      </w:r>
    </w:p>
    <w:p w:rsidR="003F3C6D" w:rsidRPr="00EC5079" w:rsidRDefault="003F3C6D" w:rsidP="003F3C6D">
      <w:pPr>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PARTE RECURRENTE: </w:t>
      </w:r>
      <w:r w:rsidR="00FD3EE0" w:rsidRPr="00EC5079">
        <w:rPr>
          <w:rFonts w:ascii="Times New Roman" w:hAnsi="Times New Roman" w:cs="Times New Roman"/>
          <w:sz w:val="18"/>
          <w:szCs w:val="24"/>
        </w:rPr>
        <w:t xml:space="preserve"> KITESURF ZZ. TRIPLAYA S.L. </w:t>
      </w:r>
    </w:p>
    <w:p w:rsidR="003F3C6D" w:rsidRPr="00EC5079" w:rsidRDefault="003F3C6D" w:rsidP="003F3C6D">
      <w:pPr>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PROCURADORA: </w:t>
      </w:r>
      <w:r w:rsidRPr="00EC5079">
        <w:rPr>
          <w:rFonts w:ascii="Times New Roman" w:hAnsi="Times New Roman" w:cs="Times New Roman"/>
          <w:sz w:val="18"/>
          <w:szCs w:val="24"/>
        </w:rPr>
        <w:t xml:space="preserve">DOÑA </w:t>
      </w:r>
      <w:r w:rsidR="00EE3D93" w:rsidRPr="00EC5079">
        <w:rPr>
          <w:rFonts w:ascii="Times New Roman" w:hAnsi="Times New Roman" w:cs="Times New Roman"/>
          <w:sz w:val="18"/>
          <w:szCs w:val="24"/>
        </w:rPr>
        <w:t>CLAUDIA GONZALEZ ESCOBAR</w:t>
      </w:r>
    </w:p>
    <w:p w:rsidR="003F3C6D" w:rsidRPr="00EC5079" w:rsidRDefault="003F3C6D" w:rsidP="003F3C6D">
      <w:pPr>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PARTE RECURRIDA: </w:t>
      </w:r>
      <w:r w:rsidRPr="00EC5079">
        <w:rPr>
          <w:rFonts w:ascii="Times New Roman" w:hAnsi="Times New Roman" w:cs="Times New Roman"/>
          <w:sz w:val="18"/>
          <w:szCs w:val="24"/>
        </w:rPr>
        <w:t>BANCO DE SANTANDER, S.A.</w:t>
      </w:r>
    </w:p>
    <w:p w:rsidR="003F3C6D" w:rsidRPr="00EC5079" w:rsidRDefault="003F3C6D" w:rsidP="003F3C6D">
      <w:pPr>
        <w:tabs>
          <w:tab w:val="left" w:pos="6015"/>
        </w:tabs>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PROCURADOR: </w:t>
      </w:r>
      <w:r w:rsidR="00EE3D93" w:rsidRPr="00EC5079">
        <w:rPr>
          <w:rFonts w:ascii="Times New Roman" w:hAnsi="Times New Roman" w:cs="Times New Roman"/>
          <w:sz w:val="18"/>
          <w:szCs w:val="24"/>
        </w:rPr>
        <w:t>DOÑA MATILDE BALLENILLA ROS</w:t>
      </w:r>
    </w:p>
    <w:p w:rsidR="003F3C6D" w:rsidRPr="00EC5079" w:rsidRDefault="003F3C6D" w:rsidP="003F3C6D">
      <w:pPr>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ROLLO DE APELACIÓN: </w:t>
      </w:r>
      <w:r w:rsidR="00FD3EE0" w:rsidRPr="00EC5079">
        <w:rPr>
          <w:rFonts w:ascii="Times New Roman" w:hAnsi="Times New Roman" w:cs="Times New Roman"/>
          <w:sz w:val="18"/>
          <w:szCs w:val="24"/>
        </w:rPr>
        <w:t>560/2014</w:t>
      </w:r>
      <w:r w:rsidRPr="00EC5079">
        <w:rPr>
          <w:rFonts w:ascii="Times New Roman" w:hAnsi="Times New Roman" w:cs="Times New Roman"/>
          <w:sz w:val="18"/>
          <w:szCs w:val="24"/>
        </w:rPr>
        <w:t xml:space="preserve"> (Audiencia Provincial de Málaga, Sección 5ª)</w:t>
      </w:r>
    </w:p>
    <w:p w:rsidR="003F3C6D" w:rsidRPr="00EC5079" w:rsidRDefault="003F3C6D" w:rsidP="003F3C6D">
      <w:pPr>
        <w:spacing w:after="0" w:line="240" w:lineRule="auto"/>
        <w:rPr>
          <w:rFonts w:ascii="Times New Roman" w:hAnsi="Times New Roman" w:cs="Times New Roman"/>
          <w:sz w:val="18"/>
          <w:szCs w:val="24"/>
        </w:rPr>
      </w:pPr>
      <w:r w:rsidRPr="00EC5079">
        <w:rPr>
          <w:rFonts w:ascii="Times New Roman" w:hAnsi="Times New Roman" w:cs="Times New Roman"/>
          <w:b/>
          <w:sz w:val="18"/>
          <w:szCs w:val="24"/>
        </w:rPr>
        <w:t xml:space="preserve">JUICIO ORDINARIO: </w:t>
      </w:r>
      <w:r w:rsidRPr="00EC5079">
        <w:rPr>
          <w:rFonts w:ascii="Times New Roman" w:hAnsi="Times New Roman" w:cs="Times New Roman"/>
          <w:sz w:val="18"/>
          <w:szCs w:val="24"/>
        </w:rPr>
        <w:t xml:space="preserve">Autos de Procedimiento Ordinario </w:t>
      </w:r>
      <w:r w:rsidR="00FD3EE0" w:rsidRPr="00EC5079">
        <w:rPr>
          <w:rFonts w:ascii="Times New Roman" w:hAnsi="Times New Roman" w:cs="Times New Roman"/>
          <w:sz w:val="18"/>
          <w:szCs w:val="24"/>
        </w:rPr>
        <w:t>330/2012</w:t>
      </w:r>
      <w:r w:rsidRPr="00EC5079">
        <w:rPr>
          <w:rFonts w:ascii="Times New Roman" w:hAnsi="Times New Roman" w:cs="Times New Roman"/>
          <w:sz w:val="18"/>
          <w:szCs w:val="24"/>
        </w:rPr>
        <w:t xml:space="preserve">. Juzgado de 1ª Instancia nº </w:t>
      </w:r>
      <w:r w:rsidR="00FD3EE0" w:rsidRPr="00EC5079">
        <w:rPr>
          <w:rFonts w:ascii="Times New Roman" w:hAnsi="Times New Roman" w:cs="Times New Roman"/>
          <w:sz w:val="18"/>
          <w:szCs w:val="24"/>
        </w:rPr>
        <w:t>4 de Torremolinos</w:t>
      </w:r>
    </w:p>
    <w:p w:rsidR="003F3C6D" w:rsidRPr="00EC5079" w:rsidRDefault="003F3C6D" w:rsidP="003F3C6D">
      <w:pPr>
        <w:spacing w:line="240" w:lineRule="auto"/>
        <w:jc w:val="both"/>
        <w:rPr>
          <w:rFonts w:ascii="Times New Roman" w:hAnsi="Times New Roman" w:cs="Times New Roman"/>
          <w:sz w:val="24"/>
          <w:szCs w:val="24"/>
        </w:rPr>
      </w:pPr>
    </w:p>
    <w:p w:rsidR="003F3C6D" w:rsidRPr="00EC5079" w:rsidRDefault="003F3C6D" w:rsidP="003F3C6D">
      <w:pPr>
        <w:spacing w:line="360" w:lineRule="auto"/>
        <w:jc w:val="center"/>
        <w:rPr>
          <w:rFonts w:ascii="Times New Roman" w:hAnsi="Times New Roman" w:cs="Times New Roman"/>
          <w:b/>
          <w:sz w:val="24"/>
          <w:szCs w:val="24"/>
          <w:u w:val="single"/>
        </w:rPr>
      </w:pPr>
      <w:r w:rsidRPr="00EC5079">
        <w:rPr>
          <w:rFonts w:ascii="Times New Roman" w:hAnsi="Times New Roman" w:cs="Times New Roman"/>
          <w:b/>
          <w:sz w:val="24"/>
          <w:szCs w:val="24"/>
          <w:u w:val="single"/>
        </w:rPr>
        <w:t>A LA SECCIÓN 5ª DE LA AUDIENCIA PROVINCIAL DE MALAGA PARA ANTE LA EXCMA. SALA PRIMERA DE LO CIVIL DEL TRIBUNAL SUPREMO</w:t>
      </w:r>
    </w:p>
    <w:p w:rsidR="003F3C6D" w:rsidRPr="00EC5079" w:rsidRDefault="003F3C6D" w:rsidP="003F3C6D">
      <w:pPr>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 </w:t>
      </w:r>
      <w:r w:rsidRPr="00EC5079">
        <w:rPr>
          <w:rFonts w:ascii="Times New Roman" w:hAnsi="Times New Roman" w:cs="Times New Roman"/>
          <w:sz w:val="24"/>
          <w:szCs w:val="24"/>
        </w:rPr>
        <w:tab/>
      </w:r>
    </w:p>
    <w:p w:rsidR="00FD3EE0" w:rsidRPr="00EC5079" w:rsidRDefault="003F3C6D" w:rsidP="003F3C6D">
      <w:pPr>
        <w:spacing w:line="360" w:lineRule="auto"/>
        <w:jc w:val="both"/>
        <w:rPr>
          <w:rFonts w:ascii="Times New Roman" w:hAnsi="Times New Roman" w:cs="Times New Roman"/>
          <w:sz w:val="24"/>
          <w:szCs w:val="24"/>
        </w:rPr>
      </w:pPr>
      <w:r w:rsidRPr="00EC5079">
        <w:rPr>
          <w:rFonts w:ascii="Times New Roman" w:hAnsi="Times New Roman" w:cs="Times New Roman"/>
          <w:b/>
          <w:sz w:val="24"/>
          <w:szCs w:val="24"/>
        </w:rPr>
        <w:t xml:space="preserve">DOÑA </w:t>
      </w:r>
      <w:r w:rsidR="00EE3D93" w:rsidRPr="00EC5079">
        <w:rPr>
          <w:rFonts w:ascii="Times New Roman" w:hAnsi="Times New Roman" w:cs="Times New Roman"/>
          <w:b/>
          <w:sz w:val="24"/>
          <w:szCs w:val="24"/>
        </w:rPr>
        <w:t>CLAUDIA GONZALEZ ESCOBAR</w:t>
      </w:r>
      <w:r w:rsidRPr="00EC5079">
        <w:rPr>
          <w:rFonts w:ascii="Times New Roman" w:hAnsi="Times New Roman" w:cs="Times New Roman"/>
          <w:b/>
          <w:sz w:val="24"/>
          <w:szCs w:val="24"/>
        </w:rPr>
        <w:t>,</w:t>
      </w:r>
      <w:r w:rsidRPr="00EC5079">
        <w:rPr>
          <w:rFonts w:ascii="Times New Roman" w:hAnsi="Times New Roman" w:cs="Times New Roman"/>
          <w:sz w:val="24"/>
          <w:szCs w:val="24"/>
        </w:rPr>
        <w:t xml:space="preserve"> Procuradora de los Tribunales y de la mercantil  </w:t>
      </w:r>
      <w:r w:rsidRPr="00EC5079">
        <w:rPr>
          <w:rFonts w:ascii="Times New Roman" w:hAnsi="Times New Roman" w:cs="Times New Roman"/>
          <w:b/>
          <w:sz w:val="24"/>
          <w:szCs w:val="24"/>
        </w:rPr>
        <w:t>“</w:t>
      </w:r>
      <w:r w:rsidR="00FD3EE0" w:rsidRPr="00EC5079">
        <w:rPr>
          <w:rFonts w:ascii="Times New Roman" w:hAnsi="Times New Roman" w:cs="Times New Roman"/>
          <w:b/>
          <w:sz w:val="24"/>
          <w:szCs w:val="24"/>
        </w:rPr>
        <w:t>KITESURF ZZ. TRIPLAYA</w:t>
      </w:r>
      <w:r w:rsidRPr="00EC5079">
        <w:rPr>
          <w:rFonts w:ascii="Times New Roman" w:hAnsi="Times New Roman" w:cs="Times New Roman"/>
          <w:b/>
          <w:sz w:val="24"/>
          <w:szCs w:val="24"/>
        </w:rPr>
        <w:t xml:space="preserve"> S.L”.</w:t>
      </w:r>
      <w:r w:rsidRPr="00EC5079">
        <w:rPr>
          <w:rFonts w:ascii="Times New Roman" w:hAnsi="Times New Roman" w:cs="Times New Roman"/>
          <w:sz w:val="24"/>
          <w:szCs w:val="24"/>
        </w:rPr>
        <w:t xml:space="preserve">  , según queda acreditado en los autos indicados en el encabezamiento del presente escrito, seguidos frente a la entidad </w:t>
      </w:r>
      <w:r w:rsidRPr="00EC5079">
        <w:rPr>
          <w:rFonts w:ascii="Times New Roman" w:hAnsi="Times New Roman" w:cs="Times New Roman"/>
          <w:b/>
          <w:sz w:val="24"/>
          <w:szCs w:val="24"/>
        </w:rPr>
        <w:t>BANCO DE SANTANDER, S.A.</w:t>
      </w:r>
      <w:r w:rsidRPr="00EC5079">
        <w:rPr>
          <w:rFonts w:ascii="Times New Roman" w:hAnsi="Times New Roman" w:cs="Times New Roman"/>
          <w:sz w:val="24"/>
          <w:szCs w:val="24"/>
        </w:rPr>
        <w:t xml:space="preserve"> comparezco  y como mejor proceda en Derecho, </w:t>
      </w:r>
    </w:p>
    <w:p w:rsidR="003F3C6D" w:rsidRPr="00EC5079" w:rsidRDefault="003F3C6D" w:rsidP="00FD3EE0">
      <w:pPr>
        <w:spacing w:line="360" w:lineRule="auto"/>
        <w:jc w:val="center"/>
        <w:rPr>
          <w:rFonts w:ascii="Times New Roman" w:hAnsi="Times New Roman" w:cs="Times New Roman"/>
          <w:sz w:val="24"/>
          <w:szCs w:val="24"/>
        </w:rPr>
      </w:pPr>
      <w:r w:rsidRPr="00EC5079">
        <w:rPr>
          <w:rFonts w:ascii="Times New Roman" w:hAnsi="Times New Roman" w:cs="Times New Roman"/>
          <w:b/>
          <w:sz w:val="24"/>
          <w:szCs w:val="24"/>
        </w:rPr>
        <w:t>DIGO</w:t>
      </w:r>
      <w:r w:rsidRPr="00EC5079">
        <w:rPr>
          <w:rFonts w:ascii="Times New Roman" w:hAnsi="Times New Roman" w:cs="Times New Roman"/>
          <w:sz w:val="24"/>
          <w:szCs w:val="24"/>
        </w:rPr>
        <w:t>:</w:t>
      </w:r>
    </w:p>
    <w:p w:rsidR="003F3C6D" w:rsidRPr="00EC5079" w:rsidRDefault="003F3C6D" w:rsidP="003F3C6D">
      <w:pPr>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(i)</w:t>
      </w:r>
      <w:r w:rsidRPr="00EC5079">
        <w:rPr>
          <w:rFonts w:ascii="Times New Roman" w:hAnsi="Times New Roman" w:cs="Times New Roman"/>
          <w:sz w:val="24"/>
          <w:szCs w:val="24"/>
        </w:rPr>
        <w:tab/>
        <w:t xml:space="preserve">Que, en fecha </w:t>
      </w:r>
      <w:r w:rsidR="00FD3EE0" w:rsidRPr="00EC5079">
        <w:rPr>
          <w:rFonts w:ascii="Times New Roman" w:hAnsi="Times New Roman" w:cs="Times New Roman"/>
          <w:sz w:val="24"/>
          <w:szCs w:val="24"/>
        </w:rPr>
        <w:t xml:space="preserve">30/03/2017 </w:t>
      </w:r>
      <w:r w:rsidRPr="00EC5079">
        <w:rPr>
          <w:rFonts w:ascii="Times New Roman" w:hAnsi="Times New Roman" w:cs="Times New Roman"/>
          <w:sz w:val="24"/>
          <w:szCs w:val="24"/>
        </w:rPr>
        <w:t xml:space="preserve">se notificó a esta parte la Sentencia dictada por la Ilma. Audiencia Provincial de Málaga, Sección 5ª, </w:t>
      </w:r>
      <w:r w:rsidR="00FD3EE0" w:rsidRPr="00EC5079">
        <w:rPr>
          <w:rFonts w:ascii="Times New Roman" w:hAnsi="Times New Roman" w:cs="Times New Roman"/>
          <w:sz w:val="24"/>
          <w:szCs w:val="24"/>
        </w:rPr>
        <w:t>de</w:t>
      </w:r>
      <w:r w:rsidRPr="00EC5079">
        <w:rPr>
          <w:rFonts w:ascii="Times New Roman" w:hAnsi="Times New Roman" w:cs="Times New Roman"/>
          <w:sz w:val="24"/>
          <w:szCs w:val="24"/>
        </w:rPr>
        <w:t xml:space="preserve"> fecha </w:t>
      </w:r>
      <w:r w:rsidR="00FD3EE0" w:rsidRPr="00EC5079">
        <w:rPr>
          <w:rFonts w:ascii="Times New Roman" w:hAnsi="Times New Roman" w:cs="Times New Roman"/>
          <w:sz w:val="24"/>
          <w:szCs w:val="24"/>
        </w:rPr>
        <w:t>24/03/2017</w:t>
      </w:r>
      <w:r w:rsidRPr="00EC5079">
        <w:rPr>
          <w:rFonts w:ascii="Times New Roman" w:hAnsi="Times New Roman" w:cs="Times New Roman"/>
          <w:sz w:val="24"/>
          <w:szCs w:val="24"/>
        </w:rPr>
        <w:t>.</w:t>
      </w:r>
    </w:p>
    <w:p w:rsidR="002B716F" w:rsidRPr="00EC5079" w:rsidRDefault="003F3C6D" w:rsidP="00EE3D93">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rPr>
        <w:t>(ii)</w:t>
      </w:r>
      <w:r w:rsidRPr="00EC5079">
        <w:rPr>
          <w:rFonts w:ascii="Times New Roman" w:hAnsi="Times New Roman" w:cs="Times New Roman"/>
          <w:sz w:val="24"/>
          <w:szCs w:val="24"/>
        </w:rPr>
        <w:tab/>
        <w:t xml:space="preserve">Que, por medio del presente escrito y dentro del plazo legal conferido al efecto, al amparo de lo dispuesto en </w:t>
      </w:r>
      <w:r w:rsidR="00B37D25" w:rsidRPr="00EC5079">
        <w:rPr>
          <w:rFonts w:ascii="Times New Roman" w:hAnsi="Times New Roman" w:cs="Times New Roman"/>
          <w:sz w:val="24"/>
          <w:szCs w:val="24"/>
        </w:rPr>
        <w:t>los artículos 477.1, 477.2.3º, 477.3, 479 y 481 de la Ley de Enjuiciamiento Civil (LEC)</w:t>
      </w:r>
      <w:r w:rsidR="00FD3EE0" w:rsidRPr="00EC5079">
        <w:rPr>
          <w:rFonts w:ascii="Times New Roman" w:hAnsi="Times New Roman" w:cs="Times New Roman"/>
          <w:sz w:val="24"/>
          <w:szCs w:val="24"/>
        </w:rPr>
        <w:t xml:space="preserve">, </w:t>
      </w:r>
      <w:r w:rsidRPr="00EC5079">
        <w:rPr>
          <w:rFonts w:ascii="Times New Roman" w:hAnsi="Times New Roman" w:cs="Times New Roman"/>
          <w:sz w:val="24"/>
          <w:szCs w:val="24"/>
        </w:rPr>
        <w:t xml:space="preserve">vengo a </w:t>
      </w:r>
      <w:r w:rsidRPr="00EC5079">
        <w:rPr>
          <w:rFonts w:ascii="Times New Roman" w:hAnsi="Times New Roman" w:cs="Times New Roman"/>
          <w:b/>
          <w:sz w:val="24"/>
          <w:szCs w:val="24"/>
        </w:rPr>
        <w:t>INTERPONER RECURSO DE CASACIÓN POR INTERÉS CASACIONAL Y RECURSO EXTRAORDINARIO POR INFRACCION PROCESAL</w:t>
      </w:r>
      <w:r w:rsidR="00BC4087" w:rsidRPr="00EC5079">
        <w:rPr>
          <w:rFonts w:ascii="Times New Roman" w:hAnsi="Times New Roman" w:cs="Times New Roman"/>
          <w:b/>
          <w:sz w:val="24"/>
          <w:szCs w:val="24"/>
        </w:rPr>
        <w:t xml:space="preserve"> (</w:t>
      </w:r>
      <w:r w:rsidR="00BC4087" w:rsidRPr="00EC5079">
        <w:rPr>
          <w:rFonts w:ascii="Times New Roman" w:hAnsi="Times New Roman" w:cs="Times New Roman"/>
          <w:b/>
          <w:i/>
          <w:sz w:val="24"/>
          <w:szCs w:val="24"/>
        </w:rPr>
        <w:t>DF 16ª 1 de la LEC)</w:t>
      </w:r>
      <w:r w:rsidR="002B716F" w:rsidRPr="00EC5079">
        <w:rPr>
          <w:rFonts w:ascii="Times New Roman" w:hAnsi="Times New Roman" w:cs="Times New Roman"/>
          <w:b/>
          <w:sz w:val="24"/>
          <w:szCs w:val="24"/>
        </w:rPr>
        <w:t xml:space="preserve">, </w:t>
      </w:r>
      <w:r w:rsidR="002B716F" w:rsidRPr="00EC5079">
        <w:rPr>
          <w:rFonts w:ascii="Times New Roman" w:hAnsi="Times New Roman" w:cs="Times New Roman"/>
          <w:sz w:val="24"/>
          <w:szCs w:val="24"/>
        </w:rPr>
        <w:t xml:space="preserve">conforme a lo establecido en el </w:t>
      </w:r>
      <w:r w:rsidR="002B716F" w:rsidRPr="00EC5079">
        <w:rPr>
          <w:rFonts w:ascii="Times New Roman" w:hAnsi="Times New Roman" w:cs="Times New Roman"/>
          <w:sz w:val="24"/>
          <w:szCs w:val="24"/>
          <w:u w:val="single"/>
        </w:rPr>
        <w:t xml:space="preserve">Acuerdo sobre criterios de admisión de los recursos de casación y extraordinario por infracción procesal. Pleno no jurisdiccional de 27 de enero de 2017. </w:t>
      </w:r>
    </w:p>
    <w:p w:rsidR="00463E66" w:rsidRPr="00EC5079" w:rsidRDefault="00BC4087" w:rsidP="00BC4087">
      <w:pPr>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Con carácter previo venimos a </w:t>
      </w:r>
      <w:r w:rsidR="007B3E25" w:rsidRPr="00EC5079">
        <w:rPr>
          <w:rFonts w:ascii="Times New Roman" w:hAnsi="Times New Roman" w:cs="Times New Roman"/>
          <w:sz w:val="24"/>
          <w:szCs w:val="24"/>
        </w:rPr>
        <w:t>resumir</w:t>
      </w:r>
      <w:r w:rsidRPr="00EC5079">
        <w:rPr>
          <w:rFonts w:ascii="Times New Roman" w:hAnsi="Times New Roman" w:cs="Times New Roman"/>
          <w:sz w:val="24"/>
          <w:szCs w:val="24"/>
        </w:rPr>
        <w:t xml:space="preserve"> que, habiendo versado el procedimiento sobre la nulidad de un contrato </w:t>
      </w:r>
      <w:r w:rsidR="00463E66" w:rsidRPr="00EC5079">
        <w:rPr>
          <w:rFonts w:ascii="Times New Roman" w:hAnsi="Times New Roman" w:cs="Times New Roman"/>
          <w:sz w:val="24"/>
          <w:szCs w:val="24"/>
        </w:rPr>
        <w:t>“</w:t>
      </w:r>
      <w:r w:rsidRPr="00EC5079">
        <w:rPr>
          <w:rFonts w:ascii="Times New Roman" w:hAnsi="Times New Roman" w:cs="Times New Roman"/>
          <w:i/>
          <w:sz w:val="24"/>
          <w:szCs w:val="24"/>
        </w:rPr>
        <w:t>swap</w:t>
      </w:r>
      <w:r w:rsidR="00463E66" w:rsidRPr="00EC5079">
        <w:rPr>
          <w:rFonts w:ascii="Times New Roman" w:hAnsi="Times New Roman" w:cs="Times New Roman"/>
          <w:sz w:val="24"/>
          <w:szCs w:val="24"/>
        </w:rPr>
        <w:t>”</w:t>
      </w:r>
      <w:r w:rsidRPr="00EC5079">
        <w:rPr>
          <w:rFonts w:ascii="Times New Roman" w:hAnsi="Times New Roman" w:cs="Times New Roman"/>
          <w:sz w:val="24"/>
          <w:szCs w:val="24"/>
        </w:rPr>
        <w:t xml:space="preserve"> suscrito por la empresa recurrente después de la entrada en vigor de las reformas de la Ley de Mercado de Valores (</w:t>
      </w:r>
      <w:r w:rsidRPr="00EC5079">
        <w:rPr>
          <w:rFonts w:ascii="Times New Roman" w:hAnsi="Times New Roman" w:cs="Times New Roman"/>
          <w:i/>
          <w:sz w:val="24"/>
          <w:szCs w:val="24"/>
        </w:rPr>
        <w:t>en adelante LMV</w:t>
      </w:r>
      <w:r w:rsidRPr="00EC5079">
        <w:rPr>
          <w:rFonts w:ascii="Times New Roman" w:hAnsi="Times New Roman" w:cs="Times New Roman"/>
          <w:sz w:val="24"/>
          <w:szCs w:val="24"/>
        </w:rPr>
        <w:t xml:space="preserve">) operadas por la ley 47/2007 de 19 de diciembre en la que se traspone la denominada Directiva MIFID, la sentencia objeto de este recurso infringe las normas jurídicas que resultan de aplicación conforme a la </w:t>
      </w:r>
      <w:r w:rsidRPr="00EC5079">
        <w:rPr>
          <w:rFonts w:ascii="Times New Roman" w:hAnsi="Times New Roman" w:cs="Times New Roman"/>
          <w:i/>
          <w:sz w:val="24"/>
          <w:szCs w:val="24"/>
        </w:rPr>
        <w:t>ratio decidendi</w:t>
      </w:r>
      <w:r w:rsidRPr="00EC5079">
        <w:rPr>
          <w:rFonts w:ascii="Times New Roman" w:hAnsi="Times New Roman" w:cs="Times New Roman"/>
          <w:sz w:val="24"/>
          <w:szCs w:val="24"/>
        </w:rPr>
        <w:t xml:space="preserve"> del proceso así como a la doctrina jurisprudencial del T</w:t>
      </w:r>
      <w:r w:rsidR="00896A0E" w:rsidRPr="00EC5079">
        <w:rPr>
          <w:rFonts w:ascii="Times New Roman" w:hAnsi="Times New Roman" w:cs="Times New Roman"/>
          <w:sz w:val="24"/>
          <w:szCs w:val="24"/>
        </w:rPr>
        <w:t xml:space="preserve">ribunal Supremo (TS) relativa al </w:t>
      </w:r>
      <w:r w:rsidRPr="00EC5079">
        <w:rPr>
          <w:rFonts w:ascii="Times New Roman" w:hAnsi="Times New Roman" w:cs="Times New Roman"/>
          <w:sz w:val="24"/>
          <w:szCs w:val="24"/>
        </w:rPr>
        <w:t>error vicio</w:t>
      </w:r>
      <w:r w:rsidR="00896A0E" w:rsidRPr="00EC5079">
        <w:rPr>
          <w:rFonts w:ascii="Times New Roman" w:hAnsi="Times New Roman" w:cs="Times New Roman"/>
          <w:sz w:val="24"/>
          <w:szCs w:val="24"/>
        </w:rPr>
        <w:t xml:space="preserve"> y e</w:t>
      </w:r>
      <w:r w:rsidRPr="00EC5079">
        <w:rPr>
          <w:rFonts w:ascii="Times New Roman" w:hAnsi="Times New Roman" w:cs="Times New Roman"/>
          <w:sz w:val="24"/>
          <w:szCs w:val="24"/>
        </w:rPr>
        <w:t xml:space="preserve">l deber de información de las entidades bancarias </w:t>
      </w:r>
      <w:r w:rsidR="00896A0E" w:rsidRPr="00EC5079">
        <w:rPr>
          <w:rFonts w:ascii="Times New Roman" w:hAnsi="Times New Roman" w:cs="Times New Roman"/>
          <w:sz w:val="24"/>
          <w:szCs w:val="24"/>
        </w:rPr>
        <w:t>en relación a la comercialización</w:t>
      </w:r>
      <w:r w:rsidRPr="00EC5079">
        <w:rPr>
          <w:rFonts w:ascii="Times New Roman" w:hAnsi="Times New Roman" w:cs="Times New Roman"/>
          <w:sz w:val="24"/>
          <w:szCs w:val="24"/>
        </w:rPr>
        <w:t xml:space="preserve"> este tipo de </w:t>
      </w:r>
      <w:r w:rsidRPr="00EC5079">
        <w:rPr>
          <w:rFonts w:ascii="Times New Roman" w:hAnsi="Times New Roman" w:cs="Times New Roman"/>
          <w:sz w:val="24"/>
          <w:szCs w:val="24"/>
        </w:rPr>
        <w:lastRenderedPageBreak/>
        <w:t>producto</w:t>
      </w:r>
      <w:r w:rsidR="00E94E89" w:rsidRPr="00EC5079">
        <w:rPr>
          <w:rFonts w:ascii="Times New Roman" w:hAnsi="Times New Roman" w:cs="Times New Roman"/>
          <w:sz w:val="24"/>
          <w:szCs w:val="24"/>
        </w:rPr>
        <w:t>s complejos</w:t>
      </w:r>
      <w:r w:rsidR="00B50456">
        <w:rPr>
          <w:rFonts w:ascii="Times New Roman" w:hAnsi="Times New Roman" w:cs="Times New Roman"/>
          <w:sz w:val="24"/>
          <w:szCs w:val="24"/>
        </w:rPr>
        <w:t>, presumiéndose la existencia del error cuando se incumplen las obligaciones de realizar el test de idoneidad</w:t>
      </w:r>
      <w:r w:rsidR="002A2D23">
        <w:rPr>
          <w:rFonts w:ascii="Times New Roman" w:hAnsi="Times New Roman" w:cs="Times New Roman"/>
          <w:sz w:val="24"/>
          <w:szCs w:val="24"/>
        </w:rPr>
        <w:t xml:space="preserve"> (</w:t>
      </w:r>
      <w:r w:rsidR="00783C77" w:rsidRPr="00783C77">
        <w:rPr>
          <w:rFonts w:ascii="Times New Roman" w:hAnsi="Times New Roman" w:cs="Times New Roman"/>
          <w:b/>
          <w:sz w:val="24"/>
          <w:szCs w:val="24"/>
        </w:rPr>
        <w:t xml:space="preserve">STS </w:t>
      </w:r>
      <w:r w:rsidR="002A2D23" w:rsidRPr="00EC5079">
        <w:rPr>
          <w:rFonts w:ascii="Times New Roman" w:hAnsi="Times New Roman" w:cs="Times New Roman"/>
          <w:b/>
          <w:sz w:val="24"/>
          <w:szCs w:val="24"/>
        </w:rPr>
        <w:t>Pleno 840/2013, de 20 de enero de 2014</w:t>
      </w:r>
      <w:r w:rsidR="002A2D23">
        <w:rPr>
          <w:rFonts w:ascii="Times New Roman" w:hAnsi="Times New Roman" w:cs="Times New Roman"/>
          <w:sz w:val="24"/>
          <w:szCs w:val="24"/>
        </w:rPr>
        <w:t xml:space="preserve">; </w:t>
      </w:r>
      <w:r w:rsidR="002A2D23" w:rsidRPr="00EC5079">
        <w:rPr>
          <w:rFonts w:ascii="Times New Roman" w:hAnsi="Times New Roman" w:cs="Times New Roman"/>
          <w:sz w:val="24"/>
          <w:szCs w:val="24"/>
        </w:rPr>
        <w:t xml:space="preserve"> </w:t>
      </w:r>
      <w:r w:rsidR="00783C77" w:rsidRPr="00783C77">
        <w:rPr>
          <w:rFonts w:ascii="Times New Roman" w:hAnsi="Times New Roman" w:cs="Times New Roman"/>
          <w:b/>
          <w:sz w:val="24"/>
          <w:szCs w:val="24"/>
        </w:rPr>
        <w:t>STS Pleno</w:t>
      </w:r>
      <w:r w:rsidR="00783C77">
        <w:rPr>
          <w:rFonts w:ascii="Times New Roman" w:hAnsi="Times New Roman" w:cs="Times New Roman"/>
          <w:sz w:val="24"/>
          <w:szCs w:val="24"/>
        </w:rPr>
        <w:t xml:space="preserve"> </w:t>
      </w:r>
      <w:r w:rsidR="002A2D23" w:rsidRPr="00EC5079">
        <w:rPr>
          <w:rFonts w:ascii="Times New Roman" w:hAnsi="Times New Roman" w:cs="Times New Roman"/>
          <w:b/>
          <w:sz w:val="24"/>
          <w:szCs w:val="24"/>
        </w:rPr>
        <w:t>491/2015, de 15 de septiembre</w:t>
      </w:r>
      <w:r w:rsidR="002A2D23">
        <w:rPr>
          <w:rFonts w:ascii="Times New Roman" w:hAnsi="Times New Roman" w:cs="Times New Roman"/>
          <w:b/>
          <w:sz w:val="24"/>
          <w:szCs w:val="24"/>
        </w:rPr>
        <w:t xml:space="preserve">; </w:t>
      </w:r>
      <w:r w:rsidR="00783C77">
        <w:rPr>
          <w:rFonts w:ascii="Times New Roman" w:hAnsi="Times New Roman" w:cs="Times New Roman"/>
          <w:b/>
          <w:sz w:val="24"/>
          <w:szCs w:val="24"/>
        </w:rPr>
        <w:t xml:space="preserve">STS </w:t>
      </w:r>
      <w:r w:rsidR="002A2D23">
        <w:rPr>
          <w:rFonts w:ascii="Times New Roman" w:hAnsi="Times New Roman" w:cs="Times New Roman"/>
          <w:b/>
          <w:sz w:val="24"/>
          <w:szCs w:val="24"/>
        </w:rPr>
        <w:t xml:space="preserve">223/2017 de 5 de abril); </w:t>
      </w:r>
      <w:r w:rsidR="00896A0E" w:rsidRPr="00EC5079">
        <w:rPr>
          <w:rFonts w:ascii="Times New Roman" w:hAnsi="Times New Roman" w:cs="Times New Roman"/>
          <w:sz w:val="24"/>
          <w:szCs w:val="24"/>
        </w:rPr>
        <w:t xml:space="preserve">la doctrina sobre </w:t>
      </w:r>
      <w:r w:rsidR="002A2D23">
        <w:rPr>
          <w:rFonts w:ascii="Times New Roman" w:hAnsi="Times New Roman" w:cs="Times New Roman"/>
          <w:sz w:val="24"/>
          <w:szCs w:val="24"/>
        </w:rPr>
        <w:t>la obligación de información es una obligación activa y no de mera disponibilidad (</w:t>
      </w:r>
      <w:r w:rsidR="00B50456" w:rsidRPr="00B50456">
        <w:rPr>
          <w:rFonts w:ascii="Times New Roman" w:hAnsi="Times New Roman" w:cs="Times New Roman"/>
          <w:b/>
          <w:sz w:val="24"/>
          <w:szCs w:val="24"/>
        </w:rPr>
        <w:t>S</w:t>
      </w:r>
      <w:r w:rsidR="00B50456">
        <w:rPr>
          <w:rFonts w:ascii="Times New Roman" w:hAnsi="Times New Roman" w:cs="Times New Roman"/>
          <w:b/>
          <w:sz w:val="24"/>
          <w:szCs w:val="24"/>
        </w:rPr>
        <w:t>TS</w:t>
      </w:r>
      <w:r w:rsidR="00B50456" w:rsidRPr="00B50456">
        <w:rPr>
          <w:rFonts w:ascii="Times New Roman" w:hAnsi="Times New Roman" w:cs="Times New Roman"/>
          <w:b/>
          <w:sz w:val="24"/>
          <w:szCs w:val="24"/>
        </w:rPr>
        <w:t xml:space="preserve"> 12 de enero de 2014, </w:t>
      </w:r>
      <w:r w:rsidR="00783C77">
        <w:rPr>
          <w:rFonts w:ascii="Times New Roman" w:hAnsi="Times New Roman" w:cs="Times New Roman"/>
          <w:b/>
          <w:sz w:val="24"/>
          <w:szCs w:val="24"/>
        </w:rPr>
        <w:t xml:space="preserve">nº </w:t>
      </w:r>
      <w:r w:rsidR="00B50456" w:rsidRPr="00B50456">
        <w:rPr>
          <w:rFonts w:ascii="Times New Roman" w:hAnsi="Times New Roman" w:cs="Times New Roman"/>
          <w:b/>
          <w:sz w:val="24"/>
          <w:szCs w:val="24"/>
        </w:rPr>
        <w:t xml:space="preserve">769; </w:t>
      </w:r>
      <w:r w:rsidR="00B50456">
        <w:rPr>
          <w:rFonts w:ascii="Times New Roman" w:hAnsi="Times New Roman" w:cs="Times New Roman"/>
          <w:b/>
          <w:sz w:val="24"/>
          <w:szCs w:val="24"/>
        </w:rPr>
        <w:t xml:space="preserve">STS </w:t>
      </w:r>
      <w:r w:rsidR="00B50456" w:rsidRPr="00B50456">
        <w:rPr>
          <w:rFonts w:ascii="Times New Roman" w:hAnsi="Times New Roman" w:cs="Times New Roman"/>
          <w:b/>
          <w:sz w:val="24"/>
          <w:szCs w:val="24"/>
        </w:rPr>
        <w:t xml:space="preserve">30 de noviembre de 2015, nº 676; </w:t>
      </w:r>
      <w:r w:rsidR="00B50456">
        <w:rPr>
          <w:rFonts w:ascii="Times New Roman" w:hAnsi="Times New Roman" w:cs="Times New Roman"/>
          <w:b/>
          <w:sz w:val="24"/>
          <w:szCs w:val="24"/>
        </w:rPr>
        <w:t xml:space="preserve">STS </w:t>
      </w:r>
      <w:r w:rsidR="00B50456" w:rsidRPr="00B50456">
        <w:rPr>
          <w:rFonts w:ascii="Times New Roman" w:hAnsi="Times New Roman" w:cs="Times New Roman"/>
          <w:b/>
          <w:sz w:val="24"/>
          <w:szCs w:val="24"/>
        </w:rPr>
        <w:t xml:space="preserve">13 de enero de 2017, nº 10 o </w:t>
      </w:r>
      <w:r w:rsidR="00B50456">
        <w:rPr>
          <w:rFonts w:ascii="Times New Roman" w:hAnsi="Times New Roman" w:cs="Times New Roman"/>
          <w:b/>
          <w:sz w:val="24"/>
          <w:szCs w:val="24"/>
        </w:rPr>
        <w:t>STS</w:t>
      </w:r>
      <w:r w:rsidR="00B50456" w:rsidRPr="00B50456">
        <w:rPr>
          <w:rFonts w:ascii="Times New Roman" w:hAnsi="Times New Roman" w:cs="Times New Roman"/>
          <w:b/>
          <w:sz w:val="24"/>
          <w:szCs w:val="24"/>
        </w:rPr>
        <w:t xml:space="preserve"> 5 de abril de 2017 nº 223</w:t>
      </w:r>
      <w:r w:rsidR="00B50456">
        <w:rPr>
          <w:rFonts w:ascii="Times New Roman" w:hAnsi="Times New Roman" w:cs="Times New Roman"/>
          <w:sz w:val="24"/>
          <w:szCs w:val="24"/>
        </w:rPr>
        <w:t xml:space="preserve">); </w:t>
      </w:r>
      <w:r w:rsidR="00E94E89" w:rsidRPr="00EC5079">
        <w:rPr>
          <w:rFonts w:ascii="Times New Roman" w:hAnsi="Times New Roman" w:cs="Times New Roman"/>
          <w:sz w:val="24"/>
          <w:szCs w:val="24"/>
        </w:rPr>
        <w:t xml:space="preserve">la insuficiencia de las </w:t>
      </w:r>
      <w:r w:rsidR="00896A0E" w:rsidRPr="00EC5079">
        <w:rPr>
          <w:rFonts w:ascii="Times New Roman" w:hAnsi="Times New Roman" w:cs="Times New Roman"/>
          <w:sz w:val="24"/>
          <w:szCs w:val="24"/>
        </w:rPr>
        <w:t>cláusulas</w:t>
      </w:r>
      <w:r w:rsidR="00E94E89" w:rsidRPr="00EC5079">
        <w:rPr>
          <w:rFonts w:ascii="Times New Roman" w:hAnsi="Times New Roman" w:cs="Times New Roman"/>
          <w:sz w:val="24"/>
          <w:szCs w:val="24"/>
        </w:rPr>
        <w:t xml:space="preserve"> contractuales</w:t>
      </w:r>
      <w:r w:rsidR="00B50456">
        <w:rPr>
          <w:rFonts w:ascii="Times New Roman" w:hAnsi="Times New Roman" w:cs="Times New Roman"/>
          <w:sz w:val="24"/>
          <w:szCs w:val="24"/>
        </w:rPr>
        <w:t xml:space="preserve"> y su lectura</w:t>
      </w:r>
      <w:r w:rsidR="00E94E89" w:rsidRPr="00EC5079">
        <w:rPr>
          <w:rFonts w:ascii="Times New Roman" w:hAnsi="Times New Roman" w:cs="Times New Roman"/>
          <w:sz w:val="24"/>
          <w:szCs w:val="24"/>
        </w:rPr>
        <w:t xml:space="preserve"> a los efectos de ten</w:t>
      </w:r>
      <w:r w:rsidR="007B3E25" w:rsidRPr="00EC5079">
        <w:rPr>
          <w:rFonts w:ascii="Times New Roman" w:hAnsi="Times New Roman" w:cs="Times New Roman"/>
          <w:sz w:val="24"/>
          <w:szCs w:val="24"/>
        </w:rPr>
        <w:t>er por cumplido dichos deberes</w:t>
      </w:r>
      <w:r w:rsidR="00B50456">
        <w:rPr>
          <w:rFonts w:ascii="Times New Roman" w:hAnsi="Times New Roman" w:cs="Times New Roman"/>
          <w:sz w:val="24"/>
          <w:szCs w:val="24"/>
        </w:rPr>
        <w:t xml:space="preserve"> siendo irrelevante el </w:t>
      </w:r>
      <w:r w:rsidR="00B50456" w:rsidRPr="00EC5079">
        <w:rPr>
          <w:rFonts w:ascii="Times New Roman" w:hAnsi="Times New Roman" w:cs="Times New Roman"/>
          <w:sz w:val="24"/>
          <w:szCs w:val="24"/>
        </w:rPr>
        <w:t>carácter de empresario o de la percepción de liquidaciones positivas a los efectos de calificar el error padecido como inexcusable</w:t>
      </w:r>
      <w:r w:rsidR="00B50456">
        <w:rPr>
          <w:rFonts w:ascii="Times New Roman" w:hAnsi="Times New Roman" w:cs="Times New Roman"/>
          <w:sz w:val="24"/>
          <w:szCs w:val="24"/>
        </w:rPr>
        <w:t xml:space="preserve"> (</w:t>
      </w:r>
      <w:r w:rsidR="00B50456">
        <w:rPr>
          <w:rFonts w:ascii="Times New Roman" w:hAnsi="Times New Roman" w:cs="Times New Roman"/>
          <w:b/>
          <w:sz w:val="24"/>
          <w:szCs w:val="24"/>
        </w:rPr>
        <w:t>STS 16 de diciembre de 2015, nº 689; S</w:t>
      </w:r>
      <w:r w:rsidR="00B50456" w:rsidRPr="00B50456">
        <w:rPr>
          <w:rFonts w:ascii="Times New Roman" w:hAnsi="Times New Roman" w:cs="Times New Roman"/>
          <w:b/>
          <w:sz w:val="24"/>
          <w:szCs w:val="24"/>
        </w:rPr>
        <w:t>TS 5 de abril de 2017, nº 223</w:t>
      </w:r>
      <w:r w:rsidR="00B50456">
        <w:rPr>
          <w:rFonts w:ascii="Times New Roman" w:hAnsi="Times New Roman" w:cs="Times New Roman"/>
          <w:b/>
          <w:sz w:val="24"/>
          <w:szCs w:val="24"/>
        </w:rPr>
        <w:t>, 6 de abril de 2017, nº 236</w:t>
      </w:r>
      <w:r w:rsidR="00B50456">
        <w:rPr>
          <w:rFonts w:ascii="Times New Roman" w:hAnsi="Times New Roman" w:cs="Times New Roman"/>
          <w:sz w:val="24"/>
          <w:szCs w:val="24"/>
        </w:rPr>
        <w:t>)</w:t>
      </w:r>
      <w:r w:rsidR="007B3E25" w:rsidRPr="00EC5079">
        <w:rPr>
          <w:rFonts w:ascii="Times New Roman" w:hAnsi="Times New Roman" w:cs="Times New Roman"/>
          <w:sz w:val="24"/>
          <w:szCs w:val="24"/>
        </w:rPr>
        <w:t xml:space="preserve"> o la necesaria información sobre el coste de cancelación</w:t>
      </w:r>
      <w:r w:rsidR="00B50456">
        <w:rPr>
          <w:rFonts w:ascii="Times New Roman" w:hAnsi="Times New Roman" w:cs="Times New Roman"/>
          <w:sz w:val="24"/>
          <w:szCs w:val="24"/>
        </w:rPr>
        <w:t xml:space="preserve"> (</w:t>
      </w:r>
      <w:r w:rsidR="00B50456">
        <w:rPr>
          <w:rFonts w:ascii="Times New Roman" w:hAnsi="Times New Roman" w:cs="Times New Roman"/>
          <w:b/>
          <w:sz w:val="24"/>
          <w:szCs w:val="24"/>
        </w:rPr>
        <w:t>STS</w:t>
      </w:r>
      <w:r w:rsidR="00B50456" w:rsidRPr="00EC5079">
        <w:rPr>
          <w:rFonts w:ascii="Times New Roman" w:eastAsiaTheme="minorHAnsi" w:hAnsi="Times New Roman" w:cs="Times New Roman"/>
          <w:b/>
          <w:sz w:val="24"/>
          <w:szCs w:val="24"/>
        </w:rPr>
        <w:t xml:space="preserve"> de 17 de abril de 2017 nº 239</w:t>
      </w:r>
      <w:r w:rsidR="00B50456">
        <w:rPr>
          <w:rFonts w:ascii="Times New Roman" w:eastAsiaTheme="minorHAnsi" w:hAnsi="Times New Roman" w:cs="Times New Roman"/>
          <w:sz w:val="24"/>
          <w:szCs w:val="24"/>
        </w:rPr>
        <w:t xml:space="preserve">, </w:t>
      </w:r>
      <w:r w:rsidR="00B50456">
        <w:rPr>
          <w:rFonts w:ascii="Times New Roman" w:eastAsiaTheme="minorHAnsi" w:hAnsi="Times New Roman" w:cs="Times New Roman"/>
          <w:b/>
          <w:sz w:val="24"/>
          <w:szCs w:val="24"/>
        </w:rPr>
        <w:t>S</w:t>
      </w:r>
      <w:r w:rsidR="00B50456" w:rsidRPr="00EC5079">
        <w:rPr>
          <w:rFonts w:ascii="Times New Roman" w:eastAsiaTheme="minorHAnsi" w:hAnsi="Times New Roman" w:cs="Times New Roman"/>
          <w:b/>
          <w:sz w:val="24"/>
          <w:szCs w:val="24"/>
        </w:rPr>
        <w:t xml:space="preserve">TS </w:t>
      </w:r>
      <w:r w:rsidR="00B50456" w:rsidRPr="00EC5079">
        <w:rPr>
          <w:rFonts w:ascii="Times New Roman" w:hAnsi="Times New Roman" w:cs="Times New Roman"/>
          <w:b/>
          <w:sz w:val="24"/>
          <w:szCs w:val="24"/>
        </w:rPr>
        <w:t>5 de octubre de 2016, nº 594</w:t>
      </w:r>
      <w:r w:rsidR="00B50456" w:rsidRPr="00EC5079">
        <w:rPr>
          <w:rFonts w:ascii="Times New Roman" w:hAnsi="Times New Roman" w:cs="Times New Roman"/>
          <w:sz w:val="24"/>
          <w:szCs w:val="24"/>
        </w:rPr>
        <w:t xml:space="preserve"> o </w:t>
      </w:r>
      <w:r w:rsidR="00783C77" w:rsidRPr="00783C77">
        <w:rPr>
          <w:rFonts w:ascii="Times New Roman" w:hAnsi="Times New Roman" w:cs="Times New Roman"/>
          <w:b/>
          <w:sz w:val="24"/>
          <w:szCs w:val="24"/>
        </w:rPr>
        <w:t>STS</w:t>
      </w:r>
      <w:r w:rsidR="00B50456" w:rsidRPr="00EC5079">
        <w:rPr>
          <w:rFonts w:ascii="Times New Roman" w:hAnsi="Times New Roman" w:cs="Times New Roman"/>
          <w:b/>
          <w:sz w:val="24"/>
          <w:szCs w:val="24"/>
        </w:rPr>
        <w:t xml:space="preserve"> </w:t>
      </w:r>
      <w:r w:rsidR="00783C77">
        <w:rPr>
          <w:rFonts w:ascii="Times New Roman" w:hAnsi="Times New Roman" w:cs="Times New Roman"/>
          <w:b/>
          <w:sz w:val="24"/>
          <w:szCs w:val="24"/>
        </w:rPr>
        <w:t xml:space="preserve">Pleno </w:t>
      </w:r>
      <w:r w:rsidR="00B50456" w:rsidRPr="00EC5079">
        <w:rPr>
          <w:rFonts w:ascii="Times New Roman" w:hAnsi="Times New Roman" w:cs="Times New Roman"/>
          <w:b/>
          <w:sz w:val="24"/>
          <w:szCs w:val="24"/>
        </w:rPr>
        <w:t>15 de septiembre de 2015, nº 491</w:t>
      </w:r>
      <w:r w:rsidR="00B50456">
        <w:rPr>
          <w:rFonts w:ascii="Times New Roman" w:hAnsi="Times New Roman" w:cs="Times New Roman"/>
          <w:b/>
          <w:sz w:val="24"/>
          <w:szCs w:val="24"/>
        </w:rPr>
        <w:t>)</w:t>
      </w:r>
      <w:r w:rsidR="007B3E25" w:rsidRPr="00EC5079">
        <w:rPr>
          <w:rFonts w:ascii="Times New Roman" w:hAnsi="Times New Roman" w:cs="Times New Roman"/>
          <w:sz w:val="24"/>
          <w:szCs w:val="24"/>
        </w:rPr>
        <w:t xml:space="preserve">. Igualmente </w:t>
      </w:r>
      <w:r w:rsidR="00D00F85" w:rsidRPr="00EC5079">
        <w:rPr>
          <w:rFonts w:ascii="Times New Roman" w:hAnsi="Times New Roman" w:cs="Times New Roman"/>
          <w:sz w:val="24"/>
          <w:szCs w:val="24"/>
        </w:rPr>
        <w:t>infringe</w:t>
      </w:r>
      <w:r w:rsidR="007B3E25" w:rsidRPr="00EC5079">
        <w:rPr>
          <w:rFonts w:ascii="Times New Roman" w:hAnsi="Times New Roman" w:cs="Times New Roman"/>
          <w:sz w:val="24"/>
          <w:szCs w:val="24"/>
        </w:rPr>
        <w:t xml:space="preserve"> la doctrina sobre </w:t>
      </w:r>
      <w:r w:rsidR="00783C77">
        <w:rPr>
          <w:rFonts w:ascii="Times New Roman" w:hAnsi="Times New Roman" w:cs="Times New Roman"/>
          <w:sz w:val="24"/>
          <w:szCs w:val="24"/>
        </w:rPr>
        <w:t>la inexistencia de una moratoria para las entidades financieras de 6 meses para no cumplimentar el test de idoneidad (</w:t>
      </w:r>
      <w:r w:rsidR="00783C77" w:rsidRPr="00783C77">
        <w:rPr>
          <w:rFonts w:ascii="Times New Roman" w:hAnsi="Times New Roman" w:cs="Times New Roman"/>
          <w:b/>
          <w:sz w:val="24"/>
          <w:szCs w:val="24"/>
        </w:rPr>
        <w:t>STS 26 de febrero de 2015, nº 110 y  STS 7 de julio de 2014, nº 385</w:t>
      </w:r>
      <w:r w:rsidR="00783C77">
        <w:rPr>
          <w:rFonts w:ascii="Times New Roman" w:hAnsi="Times New Roman" w:cs="Times New Roman"/>
          <w:sz w:val="24"/>
          <w:szCs w:val="24"/>
        </w:rPr>
        <w:t xml:space="preserve">).  </w:t>
      </w:r>
      <w:r w:rsidR="00896A0E" w:rsidRPr="00EC5079">
        <w:rPr>
          <w:rFonts w:ascii="Times New Roman" w:hAnsi="Times New Roman" w:cs="Times New Roman"/>
          <w:sz w:val="24"/>
          <w:szCs w:val="24"/>
        </w:rPr>
        <w:t xml:space="preserve"> </w:t>
      </w:r>
    </w:p>
    <w:p w:rsidR="00463E66" w:rsidRDefault="00896A0E" w:rsidP="00BC4087">
      <w:pPr>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Todo lo anterior viene plasmado</w:t>
      </w:r>
      <w:r w:rsidR="009E0EEE">
        <w:rPr>
          <w:rFonts w:ascii="Times New Roman" w:hAnsi="Times New Roman" w:cs="Times New Roman"/>
          <w:sz w:val="24"/>
          <w:szCs w:val="24"/>
        </w:rPr>
        <w:t>, a</w:t>
      </w:r>
      <w:r w:rsidR="00783C77">
        <w:rPr>
          <w:rFonts w:ascii="Times New Roman" w:hAnsi="Times New Roman" w:cs="Times New Roman"/>
          <w:sz w:val="24"/>
          <w:szCs w:val="24"/>
        </w:rPr>
        <w:t>demás</w:t>
      </w:r>
      <w:r w:rsidR="009E0EEE">
        <w:rPr>
          <w:rFonts w:ascii="Times New Roman" w:hAnsi="Times New Roman" w:cs="Times New Roman"/>
          <w:sz w:val="24"/>
          <w:szCs w:val="24"/>
        </w:rPr>
        <w:t xml:space="preserve">, </w:t>
      </w:r>
      <w:r w:rsidR="00783C77">
        <w:rPr>
          <w:rFonts w:ascii="Times New Roman" w:hAnsi="Times New Roman" w:cs="Times New Roman"/>
          <w:sz w:val="24"/>
          <w:szCs w:val="24"/>
        </w:rPr>
        <w:t xml:space="preserve"> en las Sentencias de </w:t>
      </w:r>
      <w:r w:rsidR="00E94E89" w:rsidRPr="00EC5079">
        <w:rPr>
          <w:rFonts w:ascii="Times New Roman" w:hAnsi="Times New Roman" w:cs="Times New Roman"/>
          <w:sz w:val="24"/>
          <w:szCs w:val="24"/>
        </w:rPr>
        <w:t xml:space="preserve">387/2014, de 8 de julio ; 458/2014, de 8 de septiembre ; 460/2014, de 10 de septiembre ; 563/2015, de 15 de octubre ; 547/2015, de 20 de octubre ; 562/2015, de 27 de octubre ; 595/2015, de 30 de octubre ; 588/2015, de 10 de noviembre ; 623/2015, de 24 de noviembre ; 675/2015, de 25 de noviembre ; 631/2015, de 26 de noviembre ; 670/2015, de 9 de diciembre ; 691/2015, de 10 de diciembre ; 692/2015, de 10 de diciembre ; 741/2015, de 17 de diciembre ; 742/2015, de 18 de diciembre ; 747/2015, de 29 de diciembre ; 32/2016, de 4 de febrero ; 63/2016, de 12 de febrero ; 195/2016, de 29 de marzo ; 235/2016, de 8 de abril ; 310/2016, de 11 de mayo ; 510/2016, de 20 de julio ; 580/2016, de 30 de julio ; 562/2016, de 23 de septiembre ; 595/2016, de 5 de octubre ; </w:t>
      </w:r>
      <w:r w:rsidR="00210C65">
        <w:rPr>
          <w:rFonts w:ascii="Times New Roman" w:hAnsi="Times New Roman" w:cs="Times New Roman"/>
          <w:sz w:val="24"/>
          <w:szCs w:val="24"/>
        </w:rPr>
        <w:t>690/2016, de 23 de noviembre ;  727/2016, de 19 de diciembre; 10/2017, de 13 de enero; 140/2017, 1 de marzo; 211/2017 de 3</w:t>
      </w:r>
      <w:r w:rsidR="00C94B70">
        <w:rPr>
          <w:rFonts w:ascii="Times New Roman" w:hAnsi="Times New Roman" w:cs="Times New Roman"/>
          <w:sz w:val="24"/>
          <w:szCs w:val="24"/>
        </w:rPr>
        <w:t xml:space="preserve">1 de marzo y </w:t>
      </w:r>
      <w:r w:rsidR="002A2D23">
        <w:rPr>
          <w:rFonts w:ascii="Times New Roman" w:hAnsi="Times New Roman" w:cs="Times New Roman"/>
          <w:sz w:val="24"/>
          <w:szCs w:val="24"/>
        </w:rPr>
        <w:t>228/2017 de 6 de abril</w:t>
      </w:r>
      <w:r w:rsidR="00C94B70">
        <w:rPr>
          <w:rFonts w:ascii="Times New Roman" w:hAnsi="Times New Roman" w:cs="Times New Roman"/>
          <w:sz w:val="24"/>
          <w:szCs w:val="24"/>
        </w:rPr>
        <w:t xml:space="preserve">. </w:t>
      </w:r>
      <w:r w:rsidR="002A2D23">
        <w:rPr>
          <w:rFonts w:ascii="Times New Roman" w:hAnsi="Times New Roman" w:cs="Times New Roman"/>
          <w:sz w:val="24"/>
          <w:szCs w:val="24"/>
        </w:rPr>
        <w:t xml:space="preserve"> </w:t>
      </w:r>
    </w:p>
    <w:p w:rsidR="00C94B70" w:rsidRDefault="00C94B70" w:rsidP="00E94E89">
      <w:pPr>
        <w:spacing w:line="360" w:lineRule="auto"/>
        <w:jc w:val="center"/>
        <w:rPr>
          <w:rFonts w:ascii="Times New Roman" w:hAnsi="Times New Roman" w:cs="Times New Roman"/>
          <w:b/>
          <w:sz w:val="24"/>
          <w:szCs w:val="24"/>
        </w:rPr>
      </w:pPr>
    </w:p>
    <w:p w:rsidR="00BC4087" w:rsidRPr="00EC5079" w:rsidRDefault="00E94E89" w:rsidP="00E94E89">
      <w:pPr>
        <w:spacing w:line="360" w:lineRule="auto"/>
        <w:jc w:val="center"/>
        <w:rPr>
          <w:rFonts w:ascii="Times New Roman" w:hAnsi="Times New Roman" w:cs="Times New Roman"/>
          <w:b/>
          <w:sz w:val="24"/>
          <w:szCs w:val="24"/>
        </w:rPr>
      </w:pPr>
      <w:r w:rsidRPr="00EC5079">
        <w:rPr>
          <w:rFonts w:ascii="Times New Roman" w:hAnsi="Times New Roman" w:cs="Times New Roman"/>
          <w:b/>
          <w:sz w:val="24"/>
          <w:szCs w:val="24"/>
        </w:rPr>
        <w:t xml:space="preserve">NORMA HABILITANTE </w:t>
      </w:r>
      <w:r w:rsidR="00BC4087" w:rsidRPr="00EC5079">
        <w:rPr>
          <w:rFonts w:ascii="Times New Roman" w:hAnsi="Times New Roman" w:cs="Times New Roman"/>
          <w:b/>
          <w:sz w:val="24"/>
          <w:szCs w:val="24"/>
        </w:rPr>
        <w:t xml:space="preserve">Y </w:t>
      </w:r>
      <w:r w:rsidR="0051658E">
        <w:rPr>
          <w:rFonts w:ascii="Times New Roman" w:hAnsi="Times New Roman" w:cs="Times New Roman"/>
          <w:b/>
          <w:sz w:val="24"/>
          <w:szCs w:val="24"/>
        </w:rPr>
        <w:t>REQUISITOS DE ADMISIBILIDAD COMUNES A AMBOS RECURSOS</w:t>
      </w:r>
    </w:p>
    <w:p w:rsidR="00BC4087" w:rsidRPr="00EC5079" w:rsidRDefault="00E94E89" w:rsidP="00BC4087">
      <w:pPr>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Consideramos que </w:t>
      </w:r>
      <w:r w:rsidR="0051658E">
        <w:rPr>
          <w:rFonts w:ascii="Times New Roman" w:hAnsi="Times New Roman" w:cs="Times New Roman"/>
          <w:sz w:val="24"/>
          <w:szCs w:val="24"/>
        </w:rPr>
        <w:t xml:space="preserve">el recurso extraordinario por infracción procesal y el </w:t>
      </w:r>
      <w:r w:rsidRPr="00EC5079">
        <w:rPr>
          <w:rFonts w:ascii="Times New Roman" w:hAnsi="Times New Roman" w:cs="Times New Roman"/>
          <w:sz w:val="24"/>
          <w:szCs w:val="24"/>
        </w:rPr>
        <w:t>recurso</w:t>
      </w:r>
      <w:r w:rsidR="0051658E">
        <w:rPr>
          <w:rFonts w:ascii="Times New Roman" w:hAnsi="Times New Roman" w:cs="Times New Roman"/>
          <w:sz w:val="24"/>
          <w:szCs w:val="24"/>
        </w:rPr>
        <w:t xml:space="preserve"> de casación son procedentes y admisibles </w:t>
      </w:r>
      <w:r w:rsidR="00265F4D" w:rsidRPr="00EC5079">
        <w:rPr>
          <w:rFonts w:ascii="Times New Roman" w:hAnsi="Times New Roman" w:cs="Times New Roman"/>
          <w:sz w:val="24"/>
          <w:szCs w:val="24"/>
        </w:rPr>
        <w:t xml:space="preserve">en base a lo siguiente: </w:t>
      </w:r>
    </w:p>
    <w:p w:rsidR="00265F4D" w:rsidRPr="00EC5079" w:rsidRDefault="00265F4D" w:rsidP="00265F4D">
      <w:pPr>
        <w:spacing w:line="360" w:lineRule="auto"/>
        <w:jc w:val="both"/>
        <w:rPr>
          <w:rFonts w:ascii="Times New Roman" w:hAnsi="Times New Roman" w:cs="Times New Roman"/>
          <w:i/>
          <w:sz w:val="24"/>
          <w:szCs w:val="24"/>
        </w:rPr>
      </w:pPr>
      <w:r w:rsidRPr="00EC5079">
        <w:rPr>
          <w:rFonts w:ascii="Times New Roman" w:hAnsi="Times New Roman" w:cs="Times New Roman"/>
          <w:sz w:val="24"/>
          <w:szCs w:val="24"/>
          <w:u w:val="single"/>
        </w:rPr>
        <w:lastRenderedPageBreak/>
        <w:t>1ª.- Se trata de una sentencia dictada por la Audiencia Provincial en segunda instancia, susceptible de recurso extraordinario por infracción procesal</w:t>
      </w:r>
      <w:r w:rsidRPr="00EC5079">
        <w:rPr>
          <w:rFonts w:ascii="Times New Roman" w:hAnsi="Times New Roman" w:cs="Times New Roman"/>
          <w:sz w:val="24"/>
          <w:szCs w:val="24"/>
        </w:rPr>
        <w:t xml:space="preserve"> (</w:t>
      </w:r>
      <w:r w:rsidRPr="00EC5079">
        <w:rPr>
          <w:rFonts w:ascii="Times New Roman" w:hAnsi="Times New Roman" w:cs="Times New Roman"/>
          <w:i/>
          <w:sz w:val="24"/>
          <w:szCs w:val="24"/>
        </w:rPr>
        <w:t xml:space="preserve">DF 16ª 1 de la LEC) y </w:t>
      </w:r>
      <w:r w:rsidRPr="00EC5079">
        <w:rPr>
          <w:rFonts w:ascii="Times New Roman" w:hAnsi="Times New Roman" w:cs="Times New Roman"/>
          <w:sz w:val="24"/>
          <w:szCs w:val="24"/>
          <w:u w:val="single"/>
        </w:rPr>
        <w:t>recurso de casación por tener interés casacional</w:t>
      </w:r>
      <w:r w:rsidR="00D00F85" w:rsidRPr="00EC5079">
        <w:rPr>
          <w:rFonts w:ascii="Times New Roman" w:hAnsi="Times New Roman" w:cs="Times New Roman"/>
          <w:sz w:val="24"/>
          <w:szCs w:val="24"/>
          <w:u w:val="single"/>
        </w:rPr>
        <w:t xml:space="preserve"> </w:t>
      </w:r>
      <w:r w:rsidR="00D00F85" w:rsidRPr="00EC5079">
        <w:rPr>
          <w:rFonts w:ascii="Times New Roman" w:hAnsi="Times New Roman" w:cs="Times New Roman"/>
          <w:sz w:val="24"/>
          <w:szCs w:val="24"/>
        </w:rPr>
        <w:t xml:space="preserve">(art. 477.2.3ª LEC) </w:t>
      </w:r>
      <w:r w:rsidRPr="00EC5079">
        <w:rPr>
          <w:rFonts w:ascii="Times New Roman" w:hAnsi="Times New Roman" w:cs="Times New Roman"/>
          <w:sz w:val="24"/>
          <w:szCs w:val="24"/>
        </w:rPr>
        <w:t xml:space="preserve"> al infringir </w:t>
      </w:r>
      <w:r w:rsidR="00D00F85" w:rsidRPr="00EC5079">
        <w:rPr>
          <w:rFonts w:ascii="Times New Roman" w:hAnsi="Times New Roman" w:cs="Times New Roman"/>
          <w:sz w:val="24"/>
          <w:szCs w:val="24"/>
        </w:rPr>
        <w:t xml:space="preserve">la jurisprudencia dictada en aplicación de las </w:t>
      </w:r>
      <w:r w:rsidRPr="00EC5079">
        <w:rPr>
          <w:rFonts w:ascii="Times New Roman" w:hAnsi="Times New Roman" w:cs="Times New Roman"/>
          <w:sz w:val="24"/>
          <w:szCs w:val="24"/>
        </w:rPr>
        <w:t xml:space="preserve">normas sustantivas </w:t>
      </w:r>
      <w:r w:rsidR="00D00F85" w:rsidRPr="00EC5079">
        <w:rPr>
          <w:rFonts w:ascii="Times New Roman" w:hAnsi="Times New Roman" w:cs="Times New Roman"/>
          <w:sz w:val="24"/>
          <w:szCs w:val="24"/>
        </w:rPr>
        <w:t>sobre la nulidad de los contratos “</w:t>
      </w:r>
      <w:r w:rsidR="00D00F85" w:rsidRPr="00EC5079">
        <w:rPr>
          <w:rFonts w:ascii="Times New Roman" w:hAnsi="Times New Roman" w:cs="Times New Roman"/>
          <w:i/>
          <w:sz w:val="24"/>
          <w:szCs w:val="24"/>
        </w:rPr>
        <w:t>swaps</w:t>
      </w:r>
      <w:r w:rsidR="00D00F85" w:rsidRPr="00EC5079">
        <w:rPr>
          <w:rFonts w:ascii="Times New Roman" w:hAnsi="Times New Roman" w:cs="Times New Roman"/>
          <w:sz w:val="24"/>
          <w:szCs w:val="24"/>
        </w:rPr>
        <w:t xml:space="preserve">”. </w:t>
      </w:r>
      <w:r w:rsidRPr="00EC5079">
        <w:rPr>
          <w:rFonts w:ascii="Times New Roman" w:hAnsi="Times New Roman" w:cs="Times New Roman"/>
          <w:sz w:val="24"/>
          <w:szCs w:val="24"/>
        </w:rPr>
        <w:t xml:space="preserve"> </w:t>
      </w:r>
    </w:p>
    <w:p w:rsidR="00265F4D" w:rsidRPr="00EC5079" w:rsidRDefault="00265F4D" w:rsidP="00265F4D">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u w:val="single"/>
        </w:rPr>
        <w:t xml:space="preserve">2º.- Se interpone el recurso dentro del plazo legalmente establecido, </w:t>
      </w:r>
      <w:r w:rsidRPr="00EC5079">
        <w:rPr>
          <w:rFonts w:ascii="Times New Roman" w:hAnsi="Times New Roman" w:cs="Times New Roman"/>
          <w:sz w:val="24"/>
          <w:szCs w:val="24"/>
        </w:rPr>
        <w:t>conforme a lo establecido en los artículos 479 y 448 LEC.</w:t>
      </w:r>
    </w:p>
    <w:p w:rsidR="00265F4D" w:rsidRPr="00EC5079" w:rsidRDefault="00265F4D" w:rsidP="00265F4D">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u w:val="single"/>
        </w:rPr>
        <w:t xml:space="preserve">3º.- Es competente </w:t>
      </w:r>
      <w:r w:rsidRPr="00EC5079">
        <w:rPr>
          <w:rFonts w:ascii="Times New Roman" w:hAnsi="Times New Roman" w:cs="Times New Roman"/>
          <w:sz w:val="24"/>
          <w:szCs w:val="24"/>
        </w:rPr>
        <w:t xml:space="preserve">para conocer el presente recurso </w:t>
      </w:r>
      <w:r w:rsidRPr="00EC5079">
        <w:rPr>
          <w:rFonts w:ascii="Times New Roman" w:hAnsi="Times New Roman" w:cs="Times New Roman"/>
          <w:sz w:val="24"/>
          <w:szCs w:val="24"/>
          <w:u w:val="single"/>
        </w:rPr>
        <w:t xml:space="preserve">la Sala Primera del Tribunal Supremo, </w:t>
      </w:r>
      <w:r w:rsidRPr="00EC5079">
        <w:rPr>
          <w:rFonts w:ascii="Times New Roman" w:hAnsi="Times New Roman" w:cs="Times New Roman"/>
          <w:sz w:val="24"/>
          <w:szCs w:val="24"/>
        </w:rPr>
        <w:t>de conformidad con lo dispuesto en el artículo 478.1 LEC.</w:t>
      </w:r>
    </w:p>
    <w:p w:rsidR="00265F4D" w:rsidRPr="00EC5079" w:rsidRDefault="00265F4D" w:rsidP="00265F4D">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u w:val="single"/>
        </w:rPr>
        <w:t xml:space="preserve">4º- </w:t>
      </w:r>
      <w:r w:rsidRPr="00EC5079">
        <w:rPr>
          <w:rFonts w:ascii="Times New Roman" w:hAnsi="Times New Roman" w:cs="Times New Roman"/>
          <w:sz w:val="24"/>
          <w:szCs w:val="24"/>
        </w:rPr>
        <w:t>Se acompaña, conforme a lo establecido en el artículo 481.2 LEC, como</w:t>
      </w:r>
      <w:r w:rsidRPr="00EC5079">
        <w:rPr>
          <w:rFonts w:ascii="Times New Roman" w:hAnsi="Times New Roman" w:cs="Times New Roman"/>
          <w:sz w:val="24"/>
          <w:szCs w:val="24"/>
          <w:u w:val="single"/>
        </w:rPr>
        <w:t xml:space="preserve"> </w:t>
      </w:r>
      <w:r w:rsidRPr="00EC5079">
        <w:rPr>
          <w:rFonts w:ascii="Times New Roman" w:hAnsi="Times New Roman" w:cs="Times New Roman"/>
          <w:b/>
          <w:sz w:val="24"/>
          <w:szCs w:val="24"/>
          <w:u w:val="single"/>
        </w:rPr>
        <w:t xml:space="preserve">Documento </w:t>
      </w:r>
      <w:r w:rsidR="00E72B55" w:rsidRPr="00EC5079">
        <w:rPr>
          <w:rFonts w:ascii="Times New Roman" w:hAnsi="Times New Roman" w:cs="Times New Roman"/>
          <w:b/>
          <w:sz w:val="24"/>
          <w:szCs w:val="24"/>
          <w:u w:val="single"/>
        </w:rPr>
        <w:t>núm.</w:t>
      </w:r>
      <w:r w:rsidRPr="00EC5079">
        <w:rPr>
          <w:rFonts w:ascii="Times New Roman" w:hAnsi="Times New Roman" w:cs="Times New Roman"/>
          <w:b/>
          <w:sz w:val="24"/>
          <w:szCs w:val="24"/>
          <w:u w:val="single"/>
        </w:rPr>
        <w:t xml:space="preserve"> 1,</w:t>
      </w:r>
      <w:r w:rsidRPr="00EC5079">
        <w:rPr>
          <w:rFonts w:ascii="Times New Roman" w:hAnsi="Times New Roman" w:cs="Times New Roman"/>
          <w:sz w:val="24"/>
          <w:szCs w:val="24"/>
          <w:u w:val="single"/>
        </w:rPr>
        <w:t xml:space="preserve"> </w:t>
      </w:r>
      <w:r w:rsidR="00E72B55" w:rsidRPr="00EC5079">
        <w:rPr>
          <w:rFonts w:ascii="Times New Roman" w:hAnsi="Times New Roman" w:cs="Times New Roman"/>
          <w:sz w:val="24"/>
          <w:szCs w:val="24"/>
          <w:u w:val="single"/>
        </w:rPr>
        <w:t xml:space="preserve"> </w:t>
      </w:r>
      <w:r w:rsidRPr="00EC5079">
        <w:rPr>
          <w:rFonts w:ascii="Times New Roman" w:hAnsi="Times New Roman" w:cs="Times New Roman"/>
          <w:sz w:val="24"/>
          <w:szCs w:val="24"/>
          <w:u w:val="single"/>
        </w:rPr>
        <w:t xml:space="preserve">la certificación de la Sentencia </w:t>
      </w:r>
      <w:r w:rsidRPr="00EC5079">
        <w:rPr>
          <w:rFonts w:ascii="Times New Roman" w:hAnsi="Times New Roman" w:cs="Times New Roman"/>
          <w:sz w:val="24"/>
          <w:szCs w:val="24"/>
        </w:rPr>
        <w:t>que ahora se recurre.</w:t>
      </w:r>
    </w:p>
    <w:p w:rsidR="00265F4D" w:rsidRPr="00EC5079" w:rsidRDefault="00265F4D" w:rsidP="00265F4D">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u w:val="single"/>
        </w:rPr>
        <w:t xml:space="preserve">5º.- </w:t>
      </w:r>
      <w:r w:rsidRPr="00EC5079">
        <w:rPr>
          <w:rFonts w:ascii="Times New Roman" w:hAnsi="Times New Roman" w:cs="Times New Roman"/>
          <w:sz w:val="24"/>
          <w:szCs w:val="24"/>
        </w:rPr>
        <w:t>Del mismo modo, en cumplimiento de lo dispuesto en el art. 481.2 LEC,</w:t>
      </w:r>
      <w:r w:rsidRPr="00EC5079">
        <w:rPr>
          <w:rFonts w:ascii="Times New Roman" w:hAnsi="Times New Roman" w:cs="Times New Roman"/>
          <w:sz w:val="24"/>
          <w:szCs w:val="24"/>
          <w:u w:val="single"/>
        </w:rPr>
        <w:t xml:space="preserve"> acompañamos, como </w:t>
      </w:r>
      <w:r w:rsidR="00D00F85" w:rsidRPr="00EC5079">
        <w:rPr>
          <w:rFonts w:ascii="Times New Roman" w:hAnsi="Times New Roman" w:cs="Times New Roman"/>
          <w:b/>
          <w:sz w:val="24"/>
          <w:szCs w:val="24"/>
          <w:u w:val="single"/>
        </w:rPr>
        <w:t>Documento núm</w:t>
      </w:r>
      <w:r w:rsidRPr="00EC5079">
        <w:rPr>
          <w:rFonts w:ascii="Times New Roman" w:hAnsi="Times New Roman" w:cs="Times New Roman"/>
          <w:b/>
          <w:sz w:val="24"/>
          <w:szCs w:val="24"/>
          <w:u w:val="single"/>
        </w:rPr>
        <w:t xml:space="preserve">. 2, </w:t>
      </w:r>
      <w:r w:rsidRPr="00EC5079">
        <w:rPr>
          <w:rFonts w:ascii="Times New Roman" w:hAnsi="Times New Roman" w:cs="Times New Roman"/>
          <w:sz w:val="24"/>
          <w:szCs w:val="24"/>
          <w:u w:val="single"/>
        </w:rPr>
        <w:t xml:space="preserve">el texto de las sentencias </w:t>
      </w:r>
      <w:r w:rsidRPr="00EC5079">
        <w:rPr>
          <w:rFonts w:ascii="Times New Roman" w:hAnsi="Times New Roman" w:cs="Times New Roman"/>
          <w:sz w:val="24"/>
          <w:szCs w:val="24"/>
        </w:rPr>
        <w:t>que se aducen como fundamento del interés casacional, ya que entendemos que la Sentencia del Tribunal a quo está en oposición a la doctrina jurisprudencial del propio Tribunal Supremo.</w:t>
      </w:r>
      <w:r w:rsidRPr="00EC5079">
        <w:rPr>
          <w:rFonts w:ascii="Times New Roman" w:hAnsi="Times New Roman" w:cs="Times New Roman"/>
          <w:sz w:val="24"/>
          <w:szCs w:val="24"/>
          <w:u w:val="single"/>
        </w:rPr>
        <w:t xml:space="preserve"> </w:t>
      </w:r>
    </w:p>
    <w:p w:rsidR="00265F4D" w:rsidRPr="00EC5079" w:rsidRDefault="00265F4D" w:rsidP="00265F4D">
      <w:pPr>
        <w:spacing w:line="360" w:lineRule="auto"/>
        <w:jc w:val="both"/>
        <w:rPr>
          <w:rFonts w:ascii="Times New Roman" w:hAnsi="Times New Roman" w:cs="Times New Roman"/>
          <w:sz w:val="24"/>
          <w:szCs w:val="24"/>
          <w:u w:val="single"/>
        </w:rPr>
      </w:pPr>
      <w:r w:rsidRPr="00EC5079">
        <w:rPr>
          <w:rFonts w:ascii="Times New Roman" w:hAnsi="Times New Roman" w:cs="Times New Roman"/>
          <w:sz w:val="24"/>
          <w:szCs w:val="24"/>
          <w:u w:val="single"/>
        </w:rPr>
        <w:t xml:space="preserve">6º.- </w:t>
      </w:r>
      <w:r w:rsidRPr="00EC5079">
        <w:rPr>
          <w:rFonts w:ascii="Times New Roman" w:hAnsi="Times New Roman" w:cs="Times New Roman"/>
          <w:sz w:val="24"/>
          <w:szCs w:val="24"/>
        </w:rPr>
        <w:t xml:space="preserve">Atendiendo a lo establecido en la Disposición Adicional Decimoquinta de la Ley Orgánica 6/1985, de 1 de julio, del Poder Judicial (LOPJ), </w:t>
      </w:r>
      <w:r w:rsidRPr="00EC5079">
        <w:rPr>
          <w:rFonts w:ascii="Times New Roman" w:hAnsi="Times New Roman" w:cs="Times New Roman"/>
          <w:sz w:val="24"/>
          <w:szCs w:val="24"/>
          <w:u w:val="single"/>
        </w:rPr>
        <w:t xml:space="preserve">se adjunta, como </w:t>
      </w:r>
      <w:r w:rsidRPr="00EC5079">
        <w:rPr>
          <w:rFonts w:ascii="Times New Roman" w:hAnsi="Times New Roman" w:cs="Times New Roman"/>
          <w:b/>
          <w:sz w:val="24"/>
          <w:szCs w:val="24"/>
          <w:u w:val="single"/>
        </w:rPr>
        <w:t xml:space="preserve">Documento </w:t>
      </w:r>
      <w:r w:rsidR="00E72B55" w:rsidRPr="00EC5079">
        <w:rPr>
          <w:rFonts w:ascii="Times New Roman" w:hAnsi="Times New Roman" w:cs="Times New Roman"/>
          <w:b/>
          <w:sz w:val="24"/>
          <w:szCs w:val="24"/>
          <w:u w:val="single"/>
        </w:rPr>
        <w:t>núm</w:t>
      </w:r>
      <w:r w:rsidRPr="00EC5079">
        <w:rPr>
          <w:rFonts w:ascii="Times New Roman" w:hAnsi="Times New Roman" w:cs="Times New Roman"/>
          <w:b/>
          <w:sz w:val="24"/>
          <w:szCs w:val="24"/>
          <w:u w:val="single"/>
        </w:rPr>
        <w:t>. 3</w:t>
      </w:r>
      <w:r w:rsidRPr="00EC5079">
        <w:rPr>
          <w:rFonts w:ascii="Times New Roman" w:hAnsi="Times New Roman" w:cs="Times New Roman"/>
          <w:sz w:val="24"/>
          <w:szCs w:val="24"/>
          <w:u w:val="single"/>
        </w:rPr>
        <w:t xml:space="preserve">, </w:t>
      </w:r>
      <w:r w:rsidRPr="00EC5079">
        <w:rPr>
          <w:rFonts w:ascii="Times New Roman" w:hAnsi="Times New Roman" w:cs="Times New Roman"/>
          <w:sz w:val="24"/>
          <w:szCs w:val="24"/>
        </w:rPr>
        <w:t>justificante de pago del correspondiente depósito para recurrir.</w:t>
      </w:r>
    </w:p>
    <w:p w:rsidR="00BC4087" w:rsidRPr="00EC5079" w:rsidRDefault="00BC4087" w:rsidP="00BC4087">
      <w:pPr>
        <w:spacing w:line="360" w:lineRule="auto"/>
        <w:jc w:val="both"/>
        <w:rPr>
          <w:rFonts w:ascii="Times New Roman" w:hAnsi="Times New Roman" w:cs="Times New Roman"/>
          <w:b/>
          <w:sz w:val="24"/>
          <w:szCs w:val="24"/>
          <w:u w:val="single"/>
        </w:rPr>
      </w:pPr>
    </w:p>
    <w:p w:rsidR="001A1D83" w:rsidRPr="00EC5079" w:rsidRDefault="001A1D83" w:rsidP="00265F4D">
      <w:pPr>
        <w:spacing w:line="360" w:lineRule="auto"/>
        <w:jc w:val="center"/>
        <w:rPr>
          <w:rFonts w:ascii="Times New Roman" w:hAnsi="Times New Roman" w:cs="Times New Roman"/>
          <w:b/>
          <w:sz w:val="24"/>
          <w:szCs w:val="24"/>
          <w:u w:val="single"/>
        </w:rPr>
      </w:pPr>
      <w:r w:rsidRPr="00EC5079">
        <w:rPr>
          <w:rFonts w:ascii="Times New Roman" w:hAnsi="Times New Roman" w:cs="Times New Roman"/>
          <w:b/>
          <w:sz w:val="24"/>
          <w:szCs w:val="24"/>
          <w:u w:val="single"/>
        </w:rPr>
        <w:t xml:space="preserve">MOTIVOS DEL RECURSO EXTRAORDINARIO POR INFRACCION PROCESAL. </w:t>
      </w:r>
    </w:p>
    <w:p w:rsidR="001A1D83" w:rsidRPr="00EC5079" w:rsidRDefault="001A1D83" w:rsidP="00265F4D">
      <w:pPr>
        <w:spacing w:line="360" w:lineRule="auto"/>
        <w:jc w:val="center"/>
        <w:rPr>
          <w:rFonts w:ascii="Times New Roman" w:hAnsi="Times New Roman" w:cs="Times New Roman"/>
          <w:b/>
          <w:sz w:val="24"/>
          <w:szCs w:val="24"/>
          <w:u w:val="single"/>
        </w:rPr>
      </w:pPr>
    </w:p>
    <w:p w:rsidR="001A1D83" w:rsidRPr="00EC5079" w:rsidRDefault="001A1D83" w:rsidP="00D00F85">
      <w:pPr>
        <w:tabs>
          <w:tab w:val="left" w:pos="142"/>
          <w:tab w:val="left" w:pos="567"/>
          <w:tab w:val="left" w:pos="709"/>
          <w:tab w:val="left" w:pos="851"/>
          <w:tab w:val="left" w:pos="1134"/>
          <w:tab w:val="left" w:pos="1418"/>
        </w:tabs>
        <w:spacing w:line="360" w:lineRule="auto"/>
        <w:jc w:val="center"/>
        <w:rPr>
          <w:rFonts w:ascii="Times New Roman" w:hAnsi="Times New Roman" w:cs="Times New Roman"/>
          <w:b/>
          <w:color w:val="000000"/>
          <w:sz w:val="24"/>
          <w:szCs w:val="24"/>
        </w:rPr>
      </w:pPr>
      <w:r w:rsidRPr="00EC5079">
        <w:rPr>
          <w:rFonts w:ascii="Times New Roman" w:hAnsi="Times New Roman" w:cs="Times New Roman"/>
          <w:b/>
          <w:color w:val="000000"/>
          <w:sz w:val="24"/>
          <w:szCs w:val="24"/>
        </w:rPr>
        <w:t xml:space="preserve">PRIMERO.- INFRACCIÓN DE NORMAS PROCESALES REGULADORAS DE LA SENTENCIA (artículo 469.1 2º LEC). </w:t>
      </w:r>
      <w:r w:rsidRPr="00EC5079">
        <w:rPr>
          <w:rFonts w:ascii="Times New Roman" w:hAnsi="Times New Roman" w:cs="Times New Roman"/>
          <w:b/>
          <w:sz w:val="24"/>
          <w:szCs w:val="24"/>
        </w:rPr>
        <w:t>VALORACIÓN  ARBITRARIA</w:t>
      </w:r>
      <w:r w:rsidRPr="00EC5079">
        <w:rPr>
          <w:rFonts w:ascii="Times New Roman" w:hAnsi="Times New Roman" w:cs="Times New Roman"/>
          <w:b/>
          <w:color w:val="000000"/>
          <w:sz w:val="24"/>
          <w:szCs w:val="24"/>
        </w:rPr>
        <w:t xml:space="preserve"> VULNERACIÓN DE LAS REGLAS DE LA LÓGICA Y LA RAZÓN (artículo. 218. 2 LEC)</w:t>
      </w:r>
      <w:r w:rsidR="00CE75C6">
        <w:rPr>
          <w:rFonts w:ascii="Times New Roman" w:hAnsi="Times New Roman" w:cs="Times New Roman"/>
          <w:b/>
          <w:color w:val="000000"/>
          <w:sz w:val="24"/>
          <w:szCs w:val="24"/>
        </w:rPr>
        <w:t xml:space="preserve"> AL FIJAR QUE LA FINALIDAD DEL SWAP FUE ESPECULATIVA EN CONTRA DE LO RECONOCIDO POR AMBAS PARTES. </w:t>
      </w:r>
    </w:p>
    <w:p w:rsidR="00D00F85" w:rsidRPr="00EC5079" w:rsidRDefault="00D00F85" w:rsidP="00D00F85">
      <w:pPr>
        <w:pStyle w:val="Prrafodelista"/>
        <w:numPr>
          <w:ilvl w:val="0"/>
          <w:numId w:val="40"/>
        </w:numPr>
        <w:tabs>
          <w:tab w:val="left" w:pos="142"/>
          <w:tab w:val="left" w:pos="567"/>
          <w:tab w:val="left" w:pos="709"/>
          <w:tab w:val="left" w:pos="851"/>
          <w:tab w:val="left" w:pos="1134"/>
          <w:tab w:val="left" w:pos="1418"/>
        </w:tabs>
        <w:spacing w:line="360" w:lineRule="auto"/>
        <w:jc w:val="both"/>
        <w:rPr>
          <w:b/>
        </w:rPr>
      </w:pPr>
      <w:r w:rsidRPr="00EC5079">
        <w:rPr>
          <w:b/>
        </w:rPr>
        <w:t xml:space="preserve">ENCABEZAMIENTO. </w:t>
      </w:r>
    </w:p>
    <w:p w:rsidR="00633B04" w:rsidRPr="00EC5079" w:rsidRDefault="00D00F85" w:rsidP="00D00F85">
      <w:pPr>
        <w:tabs>
          <w:tab w:val="left" w:pos="142"/>
          <w:tab w:val="left" w:pos="567"/>
          <w:tab w:val="left" w:pos="709"/>
          <w:tab w:val="left" w:pos="851"/>
          <w:tab w:val="left" w:pos="1134"/>
          <w:tab w:val="left" w:pos="1418"/>
        </w:tabs>
        <w:spacing w:line="360" w:lineRule="auto"/>
        <w:jc w:val="both"/>
        <w:rPr>
          <w:rFonts w:ascii="Times New Roman" w:hAnsi="Times New Roman" w:cs="Times New Roman"/>
          <w:i/>
          <w:sz w:val="24"/>
          <w:szCs w:val="24"/>
        </w:rPr>
      </w:pPr>
      <w:r w:rsidRPr="00EC5079">
        <w:rPr>
          <w:rFonts w:ascii="Times New Roman" w:hAnsi="Times New Roman" w:cs="Times New Roman"/>
          <w:sz w:val="24"/>
          <w:szCs w:val="24"/>
        </w:rPr>
        <w:lastRenderedPageBreak/>
        <w:t xml:space="preserve">La sentencia </w:t>
      </w:r>
      <w:r w:rsidR="00661B03" w:rsidRPr="00EC5079">
        <w:rPr>
          <w:rFonts w:ascii="Times New Roman" w:hAnsi="Times New Roman" w:cs="Times New Roman"/>
          <w:sz w:val="24"/>
          <w:szCs w:val="24"/>
        </w:rPr>
        <w:t xml:space="preserve">que recurrimos mantiene que la operación financiera que nos ocupa tuvo </w:t>
      </w:r>
      <w:r w:rsidR="00CE75C6">
        <w:rPr>
          <w:rFonts w:ascii="Times New Roman" w:hAnsi="Times New Roman" w:cs="Times New Roman"/>
          <w:sz w:val="24"/>
          <w:szCs w:val="24"/>
        </w:rPr>
        <w:t xml:space="preserve">una finalidad </w:t>
      </w:r>
      <w:r w:rsidR="00CE75C6">
        <w:rPr>
          <w:rFonts w:ascii="Times New Roman" w:hAnsi="Times New Roman" w:cs="Times New Roman"/>
          <w:b/>
          <w:sz w:val="24"/>
          <w:szCs w:val="24"/>
        </w:rPr>
        <w:t>puramente especulativa</w:t>
      </w:r>
      <w:r w:rsidR="00661B03" w:rsidRPr="00EC5079">
        <w:rPr>
          <w:rFonts w:ascii="Times New Roman" w:hAnsi="Times New Roman" w:cs="Times New Roman"/>
          <w:sz w:val="24"/>
          <w:szCs w:val="24"/>
        </w:rPr>
        <w:t xml:space="preserve">, </w:t>
      </w:r>
      <w:r w:rsidR="00633B04" w:rsidRPr="00EC5079">
        <w:rPr>
          <w:rFonts w:ascii="Times New Roman" w:hAnsi="Times New Roman" w:cs="Times New Roman"/>
          <w:i/>
          <w:sz w:val="24"/>
          <w:szCs w:val="24"/>
        </w:rPr>
        <w:t>“…</w:t>
      </w:r>
      <w:r w:rsidR="00661B03" w:rsidRPr="00EC5079">
        <w:rPr>
          <w:rFonts w:ascii="Times New Roman" w:hAnsi="Times New Roman" w:cs="Times New Roman"/>
          <w:i/>
          <w:sz w:val="24"/>
          <w:szCs w:val="24"/>
        </w:rPr>
        <w:t>realizada con la intención de obtener beneficios</w:t>
      </w:r>
      <w:r w:rsidR="00633B04" w:rsidRPr="00EC5079">
        <w:rPr>
          <w:rFonts w:ascii="Times New Roman" w:hAnsi="Times New Roman" w:cs="Times New Roman"/>
          <w:i/>
          <w:sz w:val="24"/>
          <w:szCs w:val="24"/>
        </w:rPr>
        <w:t xml:space="preserve"> basada en las variaciones de los índices utilizados de lo que tuvo conciencia la demandante…</w:t>
      </w:r>
      <w:r w:rsidR="00633B04" w:rsidRPr="00EC5079">
        <w:rPr>
          <w:rFonts w:ascii="Times New Roman" w:hAnsi="Times New Roman" w:cs="Times New Roman"/>
          <w:sz w:val="24"/>
          <w:szCs w:val="24"/>
        </w:rPr>
        <w:t>” de manera que “…</w:t>
      </w:r>
      <w:r w:rsidR="00633B04" w:rsidRPr="00EC5079">
        <w:rPr>
          <w:rFonts w:ascii="Times New Roman" w:hAnsi="Times New Roman" w:cs="Times New Roman"/>
          <w:i/>
          <w:sz w:val="24"/>
          <w:szCs w:val="24"/>
        </w:rPr>
        <w:t xml:space="preserve">esa incertidumbre sobre los resultados futuros excluye la posibilidad de que concurriera error…”. </w:t>
      </w:r>
    </w:p>
    <w:p w:rsidR="003E630A" w:rsidRPr="00EC5079" w:rsidRDefault="000164EC" w:rsidP="00633B04">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Lo anterior supone fijar </w:t>
      </w:r>
      <w:r w:rsidR="003E630A" w:rsidRPr="00EC5079">
        <w:rPr>
          <w:rFonts w:ascii="Times New Roman" w:hAnsi="Times New Roman" w:cs="Times New Roman"/>
          <w:sz w:val="24"/>
          <w:szCs w:val="24"/>
        </w:rPr>
        <w:t xml:space="preserve">erróneamente </w:t>
      </w:r>
      <w:r w:rsidRPr="00EC5079">
        <w:rPr>
          <w:rFonts w:ascii="Times New Roman" w:hAnsi="Times New Roman" w:cs="Times New Roman"/>
          <w:sz w:val="24"/>
          <w:szCs w:val="24"/>
        </w:rPr>
        <w:t xml:space="preserve">un hecho </w:t>
      </w:r>
      <w:r w:rsidR="003E630A" w:rsidRPr="00EC5079">
        <w:rPr>
          <w:rFonts w:ascii="Times New Roman" w:hAnsi="Times New Roman" w:cs="Times New Roman"/>
          <w:sz w:val="24"/>
          <w:szCs w:val="24"/>
        </w:rPr>
        <w:t xml:space="preserve">nuevo </w:t>
      </w:r>
      <w:r w:rsidRPr="00EC5079">
        <w:rPr>
          <w:rFonts w:ascii="Times New Roman" w:hAnsi="Times New Roman" w:cs="Times New Roman"/>
          <w:sz w:val="24"/>
          <w:szCs w:val="24"/>
        </w:rPr>
        <w:t xml:space="preserve">consistente en </w:t>
      </w:r>
      <w:r w:rsidR="003E630A" w:rsidRPr="00EC5079">
        <w:rPr>
          <w:rFonts w:ascii="Times New Roman" w:hAnsi="Times New Roman" w:cs="Times New Roman"/>
          <w:sz w:val="24"/>
          <w:szCs w:val="24"/>
        </w:rPr>
        <w:t xml:space="preserve">que mi mandante </w:t>
      </w:r>
      <w:r w:rsidRPr="00EC5079">
        <w:rPr>
          <w:rFonts w:ascii="Times New Roman" w:hAnsi="Times New Roman" w:cs="Times New Roman"/>
          <w:sz w:val="24"/>
          <w:szCs w:val="24"/>
        </w:rPr>
        <w:t xml:space="preserve">quiso invertir. Y al hacerlo </w:t>
      </w:r>
      <w:r w:rsidR="00B730CD" w:rsidRPr="00EC5079">
        <w:rPr>
          <w:rFonts w:ascii="Times New Roman" w:hAnsi="Times New Roman" w:cs="Times New Roman"/>
          <w:sz w:val="24"/>
          <w:szCs w:val="24"/>
        </w:rPr>
        <w:t xml:space="preserve">vulnera lo dispuesto en el art. 218.2 LEC </w:t>
      </w:r>
      <w:r w:rsidR="003E630A" w:rsidRPr="00EC5079">
        <w:rPr>
          <w:rFonts w:ascii="Times New Roman" w:hAnsi="Times New Roman" w:cs="Times New Roman"/>
          <w:sz w:val="24"/>
          <w:szCs w:val="24"/>
        </w:rPr>
        <w:t xml:space="preserve">porque contradice lo que pacíficamente han reconocido las partes y por tanto no ha sido objeto de prueba, a saber, </w:t>
      </w:r>
      <w:r w:rsidR="003E630A" w:rsidRPr="00EC5079">
        <w:rPr>
          <w:rFonts w:ascii="Times New Roman" w:hAnsi="Times New Roman" w:cs="Times New Roman"/>
          <w:sz w:val="24"/>
          <w:szCs w:val="24"/>
          <w:u w:val="single"/>
        </w:rPr>
        <w:t xml:space="preserve">que la causa de la </w:t>
      </w:r>
      <w:r w:rsidRPr="00EC5079">
        <w:rPr>
          <w:rFonts w:ascii="Times New Roman" w:hAnsi="Times New Roman" w:cs="Times New Roman"/>
          <w:sz w:val="24"/>
          <w:szCs w:val="24"/>
          <w:u w:val="single"/>
        </w:rPr>
        <w:t xml:space="preserve">operación, </w:t>
      </w:r>
      <w:r w:rsidRPr="00EC5079">
        <w:rPr>
          <w:rFonts w:ascii="Times New Roman" w:hAnsi="Times New Roman" w:cs="Times New Roman"/>
          <w:sz w:val="24"/>
          <w:szCs w:val="24"/>
        </w:rPr>
        <w:t>como</w:t>
      </w:r>
      <w:r w:rsidR="003E630A" w:rsidRPr="00EC5079">
        <w:rPr>
          <w:rFonts w:ascii="Times New Roman" w:hAnsi="Times New Roman" w:cs="Times New Roman"/>
          <w:sz w:val="24"/>
          <w:szCs w:val="24"/>
        </w:rPr>
        <w:t xml:space="preserve"> servicio ofrecido por el banco,  fue </w:t>
      </w:r>
      <w:r w:rsidR="003E630A" w:rsidRPr="00EC5079">
        <w:rPr>
          <w:rFonts w:ascii="Times New Roman" w:hAnsi="Times New Roman" w:cs="Times New Roman"/>
          <w:sz w:val="24"/>
          <w:szCs w:val="24"/>
          <w:u w:val="single"/>
        </w:rPr>
        <w:t>la cobertura frente a las subidas de los tipos de interés</w:t>
      </w:r>
      <w:r w:rsidR="003E630A" w:rsidRPr="00EC5079">
        <w:rPr>
          <w:rFonts w:ascii="Times New Roman" w:hAnsi="Times New Roman" w:cs="Times New Roman"/>
          <w:sz w:val="24"/>
          <w:szCs w:val="24"/>
        </w:rPr>
        <w:t>.</w:t>
      </w:r>
    </w:p>
    <w:p w:rsidR="005736BC" w:rsidRPr="00EC5079" w:rsidRDefault="000164EC" w:rsidP="00C52A56">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Siendo,  en consecuencia, pacifico que la causa de la contratación fue el intento de protección frente a las subidas de los tipos, </w:t>
      </w:r>
      <w:r w:rsidR="00B8140F" w:rsidRPr="00EC5079">
        <w:rPr>
          <w:rFonts w:ascii="Times New Roman" w:hAnsi="Times New Roman" w:cs="Times New Roman"/>
          <w:sz w:val="24"/>
          <w:szCs w:val="24"/>
        </w:rPr>
        <w:t>es patente el error manifiesto que comente la Audiencia al confundir el resu</w:t>
      </w:r>
      <w:r w:rsidR="003E630A" w:rsidRPr="00EC5079">
        <w:rPr>
          <w:rFonts w:ascii="Times New Roman" w:hAnsi="Times New Roman" w:cs="Times New Roman"/>
          <w:sz w:val="24"/>
          <w:szCs w:val="24"/>
        </w:rPr>
        <w:t>ltado del producto (especulación/inversión</w:t>
      </w:r>
      <w:r w:rsidR="00B8140F" w:rsidRPr="00EC5079">
        <w:rPr>
          <w:rFonts w:ascii="Times New Roman" w:hAnsi="Times New Roman" w:cs="Times New Roman"/>
          <w:sz w:val="24"/>
          <w:szCs w:val="24"/>
        </w:rPr>
        <w:t>), con la intención en su contratación (cobertura</w:t>
      </w:r>
      <w:r w:rsidR="003E630A" w:rsidRPr="00EC5079">
        <w:rPr>
          <w:rFonts w:ascii="Times New Roman" w:hAnsi="Times New Roman" w:cs="Times New Roman"/>
          <w:sz w:val="24"/>
          <w:szCs w:val="24"/>
        </w:rPr>
        <w:t>/aseguramiento</w:t>
      </w:r>
      <w:r w:rsidR="00B8140F" w:rsidRPr="00EC5079">
        <w:rPr>
          <w:rFonts w:ascii="Times New Roman" w:hAnsi="Times New Roman" w:cs="Times New Roman"/>
          <w:sz w:val="24"/>
          <w:szCs w:val="24"/>
        </w:rPr>
        <w:t>) y con dicho error la sentencia infringe las r</w:t>
      </w:r>
      <w:r w:rsidR="005736BC" w:rsidRPr="00EC5079">
        <w:rPr>
          <w:rFonts w:ascii="Times New Roman" w:hAnsi="Times New Roman" w:cs="Times New Roman"/>
          <w:sz w:val="24"/>
          <w:szCs w:val="24"/>
        </w:rPr>
        <w:t>eglas procesales reguladoras de la sentencia</w:t>
      </w:r>
      <w:r w:rsidR="000E74E4" w:rsidRPr="00EC5079">
        <w:rPr>
          <w:rFonts w:ascii="Times New Roman" w:hAnsi="Times New Roman" w:cs="Times New Roman"/>
          <w:sz w:val="24"/>
          <w:szCs w:val="24"/>
        </w:rPr>
        <w:t xml:space="preserve">, </w:t>
      </w:r>
      <w:r w:rsidR="00B8140F" w:rsidRPr="00EC5079">
        <w:rPr>
          <w:rFonts w:ascii="Times New Roman" w:hAnsi="Times New Roman" w:cs="Times New Roman"/>
          <w:sz w:val="24"/>
          <w:szCs w:val="24"/>
        </w:rPr>
        <w:t xml:space="preserve">tal y como </w:t>
      </w:r>
      <w:r w:rsidR="000E74E4" w:rsidRPr="00EC5079">
        <w:rPr>
          <w:rFonts w:ascii="Times New Roman" w:hAnsi="Times New Roman" w:cs="Times New Roman"/>
          <w:sz w:val="24"/>
          <w:szCs w:val="24"/>
        </w:rPr>
        <w:t xml:space="preserve">denunciamos en el presente motivo. </w:t>
      </w:r>
    </w:p>
    <w:p w:rsidR="00C52A56" w:rsidRPr="00EC5079" w:rsidRDefault="00C52A56" w:rsidP="00C52A56">
      <w:pPr>
        <w:pStyle w:val="Prrafodelista"/>
        <w:numPr>
          <w:ilvl w:val="0"/>
          <w:numId w:val="40"/>
        </w:numPr>
        <w:tabs>
          <w:tab w:val="left" w:pos="142"/>
          <w:tab w:val="left" w:pos="567"/>
          <w:tab w:val="left" w:pos="709"/>
          <w:tab w:val="left" w:pos="851"/>
          <w:tab w:val="left" w:pos="1134"/>
          <w:tab w:val="left" w:pos="1418"/>
        </w:tabs>
        <w:spacing w:line="360" w:lineRule="auto"/>
        <w:jc w:val="both"/>
        <w:rPr>
          <w:b/>
        </w:rPr>
      </w:pPr>
      <w:r w:rsidRPr="00EC5079">
        <w:rPr>
          <w:b/>
        </w:rPr>
        <w:t xml:space="preserve">DESARROLLO DEL MOTIVO. </w:t>
      </w:r>
    </w:p>
    <w:p w:rsidR="00BE4BD2" w:rsidRPr="00EC5079" w:rsidRDefault="00EC42FF" w:rsidP="009F5CE8">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El Fundamento de D</w:t>
      </w:r>
      <w:r w:rsidR="000164EC" w:rsidRPr="00EC5079">
        <w:rPr>
          <w:rFonts w:ascii="Times New Roman" w:hAnsi="Times New Roman" w:cs="Times New Roman"/>
          <w:sz w:val="24"/>
          <w:szCs w:val="24"/>
        </w:rPr>
        <w:t>erecho C</w:t>
      </w:r>
      <w:r w:rsidR="009F5CE8" w:rsidRPr="00EC5079">
        <w:rPr>
          <w:rFonts w:ascii="Times New Roman" w:hAnsi="Times New Roman" w:cs="Times New Roman"/>
          <w:sz w:val="24"/>
          <w:szCs w:val="24"/>
        </w:rPr>
        <w:t xml:space="preserve">uarto la sentencia que recurrimos, como ya hizo la sentencia de instancia, </w:t>
      </w:r>
      <w:r w:rsidR="00B8140F" w:rsidRPr="00EC5079">
        <w:rPr>
          <w:rFonts w:ascii="Times New Roman" w:hAnsi="Times New Roman" w:cs="Times New Roman"/>
          <w:sz w:val="24"/>
          <w:szCs w:val="24"/>
        </w:rPr>
        <w:t xml:space="preserve">hace suyo lo dispuesto literalmente </w:t>
      </w:r>
      <w:r w:rsidR="00BE4BD2" w:rsidRPr="00EC5079">
        <w:rPr>
          <w:rFonts w:ascii="Times New Roman" w:hAnsi="Times New Roman" w:cs="Times New Roman"/>
          <w:sz w:val="24"/>
          <w:szCs w:val="24"/>
        </w:rPr>
        <w:t xml:space="preserve">en la Sentencia del TS de 21 de noviembre de 2012, sentencia nº 683, </w:t>
      </w:r>
      <w:r w:rsidR="009F5CE8" w:rsidRPr="00EC5079">
        <w:rPr>
          <w:rFonts w:ascii="Times New Roman" w:hAnsi="Times New Roman" w:cs="Times New Roman"/>
          <w:sz w:val="24"/>
          <w:szCs w:val="24"/>
        </w:rPr>
        <w:t>Fundamento de Derecho Quinto, manifestando que en virtud del contrato</w:t>
      </w:r>
      <w:r w:rsidR="00BE4BD2" w:rsidRPr="00EC5079">
        <w:rPr>
          <w:rFonts w:ascii="Times New Roman" w:hAnsi="Times New Roman" w:cs="Times New Roman"/>
          <w:sz w:val="24"/>
          <w:szCs w:val="24"/>
        </w:rPr>
        <w:t>:</w:t>
      </w:r>
    </w:p>
    <w:p w:rsidR="009F5CE8" w:rsidRPr="00EC5079" w:rsidRDefault="00BE4BD2" w:rsidP="00BE4BD2">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4"/>
        </w:rPr>
      </w:pPr>
      <w:r w:rsidRPr="00EC5079">
        <w:rPr>
          <w:rFonts w:ascii="Times New Roman" w:hAnsi="Times New Roman" w:cs="Times New Roman"/>
          <w:i/>
          <w:sz w:val="20"/>
          <w:szCs w:val="24"/>
        </w:rPr>
        <w:t>“…</w:t>
      </w:r>
      <w:r w:rsidR="009F5CE8" w:rsidRPr="00EC5079">
        <w:rPr>
          <w:rFonts w:ascii="Times New Roman" w:hAnsi="Times New Roman" w:cs="Times New Roman"/>
          <w:i/>
          <w:sz w:val="20"/>
          <w:szCs w:val="24"/>
        </w:rPr>
        <w:t>las partes debían ejecutar unas prestaciones inicialmente determinables, pero cuya determinación quedó sujeta a factores básicamente aleatorios, dada la inestabilidad del índice de re</w:t>
      </w:r>
      <w:r w:rsidRPr="00EC5079">
        <w:rPr>
          <w:rFonts w:ascii="Times New Roman" w:hAnsi="Times New Roman" w:cs="Times New Roman"/>
          <w:i/>
          <w:sz w:val="20"/>
          <w:szCs w:val="24"/>
        </w:rPr>
        <w:t>ferencia utilizado, por lo que c</w:t>
      </w:r>
      <w:r w:rsidR="009F5CE8" w:rsidRPr="00EC5079">
        <w:rPr>
          <w:rFonts w:ascii="Times New Roman" w:hAnsi="Times New Roman" w:cs="Times New Roman"/>
          <w:i/>
          <w:sz w:val="20"/>
          <w:szCs w:val="24"/>
        </w:rPr>
        <w:t>abe decir que la operación financiera, en su conjunto, tuvo un carácter puramente especulativo, en el sentido etimológico de realizada con la esperanza de obtener beneficios basada en las variaciones de los índices utilizados de lo qu</w:t>
      </w:r>
      <w:r w:rsidRPr="00EC5079">
        <w:rPr>
          <w:rFonts w:ascii="Times New Roman" w:hAnsi="Times New Roman" w:cs="Times New Roman"/>
          <w:i/>
          <w:sz w:val="20"/>
          <w:szCs w:val="24"/>
        </w:rPr>
        <w:t xml:space="preserve">e tuvo conciencia la demandante…” </w:t>
      </w:r>
    </w:p>
    <w:p w:rsidR="00A16657" w:rsidRPr="00EC5079" w:rsidRDefault="00B8140F" w:rsidP="00B8140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Con la anterior declaración está apartándose irracionalmente de los hechos reconocidos por las </w:t>
      </w:r>
      <w:r w:rsidR="00EC42FF" w:rsidRPr="00EC5079">
        <w:rPr>
          <w:rFonts w:ascii="Times New Roman" w:hAnsi="Times New Roman" w:cs="Times New Roman"/>
          <w:sz w:val="24"/>
          <w:szCs w:val="24"/>
        </w:rPr>
        <w:t>partes en sus respectivos escritos de alegaciones (</w:t>
      </w:r>
      <w:r w:rsidR="00EC42FF" w:rsidRPr="00EC5079">
        <w:rPr>
          <w:rFonts w:ascii="Times New Roman" w:hAnsi="Times New Roman" w:cs="Times New Roman"/>
          <w:i/>
          <w:sz w:val="24"/>
          <w:szCs w:val="24"/>
        </w:rPr>
        <w:t>demanda y contestación</w:t>
      </w:r>
      <w:r w:rsidR="00EC42FF" w:rsidRPr="00EC5079">
        <w:rPr>
          <w:rFonts w:ascii="Times New Roman" w:hAnsi="Times New Roman" w:cs="Times New Roman"/>
          <w:sz w:val="24"/>
          <w:szCs w:val="24"/>
        </w:rPr>
        <w:t>)</w:t>
      </w:r>
      <w:r w:rsidRPr="00EC5079">
        <w:rPr>
          <w:rFonts w:ascii="Times New Roman" w:hAnsi="Times New Roman" w:cs="Times New Roman"/>
          <w:sz w:val="24"/>
          <w:szCs w:val="24"/>
        </w:rPr>
        <w:t xml:space="preserve"> para aplicar las consecuencias de la STS de 21 de noviembre de 2012, nº 683, </w:t>
      </w:r>
      <w:r w:rsidR="003E630A" w:rsidRPr="00EC5079">
        <w:rPr>
          <w:rFonts w:ascii="Times New Roman" w:hAnsi="Times New Roman" w:cs="Times New Roman"/>
          <w:sz w:val="24"/>
          <w:szCs w:val="24"/>
        </w:rPr>
        <w:t xml:space="preserve">sentencia que se basaba en hechos distintos y cuya fundamentación jurídica en relación al error en la </w:t>
      </w:r>
      <w:r w:rsidR="003E630A" w:rsidRPr="00EC5079">
        <w:rPr>
          <w:rFonts w:ascii="Times New Roman" w:hAnsi="Times New Roman" w:cs="Times New Roman"/>
          <w:sz w:val="24"/>
          <w:szCs w:val="24"/>
        </w:rPr>
        <w:lastRenderedPageBreak/>
        <w:t xml:space="preserve">contratación de los swaps, </w:t>
      </w:r>
      <w:r w:rsidRPr="00EC5079">
        <w:rPr>
          <w:rFonts w:ascii="Times New Roman" w:hAnsi="Times New Roman" w:cs="Times New Roman"/>
          <w:sz w:val="24"/>
          <w:szCs w:val="24"/>
        </w:rPr>
        <w:t xml:space="preserve">ya ha sido </w:t>
      </w:r>
      <w:r w:rsidR="00EC42FF" w:rsidRPr="00EC5079">
        <w:rPr>
          <w:rFonts w:ascii="Times New Roman" w:hAnsi="Times New Roman" w:cs="Times New Roman"/>
          <w:sz w:val="24"/>
          <w:szCs w:val="24"/>
        </w:rPr>
        <w:t>ampliamente superada por la jurisprudencia posterior</w:t>
      </w:r>
      <w:r w:rsidR="00A16657" w:rsidRPr="00EC5079">
        <w:rPr>
          <w:rFonts w:ascii="Times New Roman" w:hAnsi="Times New Roman" w:cs="Times New Roman"/>
          <w:sz w:val="24"/>
          <w:szCs w:val="24"/>
        </w:rPr>
        <w:t xml:space="preserve">. </w:t>
      </w:r>
    </w:p>
    <w:p w:rsidR="00A16657" w:rsidRPr="00EC5079" w:rsidRDefault="00A16657" w:rsidP="00B8140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El error </w:t>
      </w:r>
      <w:r w:rsidR="003E630A" w:rsidRPr="00EC5079">
        <w:rPr>
          <w:rFonts w:ascii="Times New Roman" w:hAnsi="Times New Roman" w:cs="Times New Roman"/>
          <w:sz w:val="24"/>
          <w:szCs w:val="24"/>
        </w:rPr>
        <w:t xml:space="preserve"> de la Audiencia </w:t>
      </w:r>
      <w:r w:rsidRPr="00EC5079">
        <w:rPr>
          <w:rFonts w:ascii="Times New Roman" w:hAnsi="Times New Roman" w:cs="Times New Roman"/>
          <w:sz w:val="24"/>
          <w:szCs w:val="24"/>
        </w:rPr>
        <w:t xml:space="preserve">es patente con la simple lectura de los escritos de alegaciones como decimos. </w:t>
      </w:r>
    </w:p>
    <w:p w:rsidR="00A16657" w:rsidRPr="00EC5079" w:rsidRDefault="00A16657" w:rsidP="00B8140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Así en la demanda, esta parte manifestó</w:t>
      </w:r>
      <w:r w:rsidR="00DA0588" w:rsidRPr="00EC5079">
        <w:rPr>
          <w:rFonts w:ascii="Times New Roman" w:hAnsi="Times New Roman" w:cs="Times New Roman"/>
          <w:sz w:val="24"/>
          <w:szCs w:val="24"/>
        </w:rPr>
        <w:t xml:space="preserve"> (la negrita es nuestra)</w:t>
      </w:r>
      <w:r w:rsidRPr="00EC5079">
        <w:rPr>
          <w:rFonts w:ascii="Times New Roman" w:hAnsi="Times New Roman" w:cs="Times New Roman"/>
          <w:sz w:val="24"/>
          <w:szCs w:val="24"/>
        </w:rPr>
        <w:t>:</w:t>
      </w:r>
    </w:p>
    <w:p w:rsidR="00A16657" w:rsidRPr="00EC5079" w:rsidRDefault="00A16657" w:rsidP="00A16657">
      <w:pPr>
        <w:spacing w:before="240" w:line="360" w:lineRule="auto"/>
        <w:ind w:left="708" w:right="96"/>
        <w:jc w:val="both"/>
        <w:rPr>
          <w:rFonts w:ascii="Times New Roman" w:hAnsi="Times New Roman" w:cs="Times New Roman"/>
          <w:i/>
          <w:sz w:val="20"/>
          <w:szCs w:val="20"/>
        </w:rPr>
      </w:pPr>
      <w:r w:rsidRPr="00EC5079">
        <w:rPr>
          <w:rFonts w:ascii="Times New Roman" w:hAnsi="Times New Roman" w:cs="Times New Roman"/>
          <w:i/>
          <w:sz w:val="20"/>
          <w:szCs w:val="20"/>
        </w:rPr>
        <w:t xml:space="preserve">“... No obstante, sería necesario también, que mi patrocinada firmase </w:t>
      </w:r>
      <w:r w:rsidRPr="00EC5079">
        <w:rPr>
          <w:rFonts w:ascii="Times New Roman" w:hAnsi="Times New Roman" w:cs="Times New Roman"/>
          <w:b/>
          <w:i/>
          <w:sz w:val="20"/>
          <w:szCs w:val="20"/>
        </w:rPr>
        <w:t>una especie de seguro frente a las subidas de tipos de interés</w:t>
      </w:r>
      <w:r w:rsidRPr="00EC5079">
        <w:rPr>
          <w:rFonts w:ascii="Times New Roman" w:hAnsi="Times New Roman" w:cs="Times New Roman"/>
          <w:i/>
          <w:sz w:val="20"/>
          <w:szCs w:val="20"/>
        </w:rPr>
        <w:t xml:space="preserve">, para la concesión de dicha operación. Era una condición que imponía el Banco, pero que en modo alguno debía preocuparse mi patrocinada, puesto que dicha “póliza” no le iba a suponer ningún tipo de  perjuicio…” </w:t>
      </w:r>
      <w:r w:rsidR="0040576E" w:rsidRPr="00EC5079">
        <w:rPr>
          <w:rStyle w:val="Refdenotaalpie"/>
          <w:rFonts w:ascii="Times New Roman" w:hAnsi="Times New Roman"/>
          <w:i/>
          <w:sz w:val="20"/>
          <w:szCs w:val="20"/>
        </w:rPr>
        <w:footnoteReference w:id="1"/>
      </w:r>
    </w:p>
    <w:p w:rsidR="00A16657" w:rsidRPr="00EC5079" w:rsidRDefault="00DA0588" w:rsidP="00DA0588">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Cs w:val="24"/>
        </w:rPr>
      </w:pPr>
      <w:r w:rsidRPr="00EC5079">
        <w:rPr>
          <w:rFonts w:ascii="Times New Roman" w:hAnsi="Times New Roman" w:cs="Times New Roman"/>
          <w:i/>
          <w:sz w:val="20"/>
        </w:rPr>
        <w:t xml:space="preserve">“…La información al cliente, previa al momento de la contratación, se limita a significarle el Sr. Aragón que se trataba </w:t>
      </w:r>
      <w:r w:rsidRPr="00EC5079">
        <w:rPr>
          <w:rFonts w:ascii="Times New Roman" w:hAnsi="Times New Roman" w:cs="Times New Roman"/>
          <w:b/>
          <w:i/>
          <w:sz w:val="20"/>
        </w:rPr>
        <w:t>de una especie de seguro, frente a las subidas de tipos de interés</w:t>
      </w:r>
      <w:r w:rsidRPr="00EC5079">
        <w:rPr>
          <w:rFonts w:ascii="Times New Roman" w:hAnsi="Times New Roman" w:cs="Times New Roman"/>
          <w:i/>
          <w:sz w:val="20"/>
        </w:rPr>
        <w:t xml:space="preserve">, que el Banco exigía a la hora de concertar el contrato de aval que la actora pretendía contratar con la demandada...” </w:t>
      </w:r>
      <w:r w:rsidRPr="00EC5079">
        <w:rPr>
          <w:rStyle w:val="Refdenotaalpie"/>
          <w:rFonts w:ascii="Times New Roman" w:hAnsi="Times New Roman"/>
          <w:i/>
          <w:sz w:val="20"/>
        </w:rPr>
        <w:footnoteReference w:id="2"/>
      </w:r>
    </w:p>
    <w:p w:rsidR="003E630A" w:rsidRPr="00EC5079" w:rsidRDefault="00DA0588" w:rsidP="00B8140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Por su parte la entidad bancaria reconoció en su contestación que</w:t>
      </w:r>
      <w:r w:rsidR="003E630A" w:rsidRPr="00EC5079">
        <w:rPr>
          <w:rFonts w:ascii="Times New Roman" w:hAnsi="Times New Roman" w:cs="Times New Roman"/>
          <w:sz w:val="24"/>
          <w:szCs w:val="24"/>
        </w:rPr>
        <w:t xml:space="preserve"> un swap, desde el punto de vista teórico,  puede tener una finalidad especulativa o de cobertura, pero que en este caso en concreto la finalidad fue de cobertura frente a las subidas de los tipos de interés. </w:t>
      </w:r>
    </w:p>
    <w:p w:rsidR="00DA0588" w:rsidRPr="00EC5079" w:rsidRDefault="0040576E" w:rsidP="00B8140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Así</w:t>
      </w:r>
      <w:r w:rsidR="00DA0588" w:rsidRPr="00EC5079">
        <w:rPr>
          <w:rFonts w:ascii="Times New Roman" w:hAnsi="Times New Roman" w:cs="Times New Roman"/>
          <w:sz w:val="24"/>
          <w:szCs w:val="24"/>
        </w:rPr>
        <w:t xml:space="preserve"> las manifestaciones de la entidad bancaria en su contestación</w:t>
      </w:r>
      <w:r w:rsidRPr="00EC5079">
        <w:rPr>
          <w:rFonts w:ascii="Times New Roman" w:hAnsi="Times New Roman" w:cs="Times New Roman"/>
          <w:sz w:val="24"/>
          <w:szCs w:val="24"/>
        </w:rPr>
        <w:t xml:space="preserve"> (</w:t>
      </w:r>
      <w:r w:rsidRPr="00EC5079">
        <w:rPr>
          <w:rFonts w:ascii="Times New Roman" w:hAnsi="Times New Roman" w:cs="Times New Roman"/>
          <w:i/>
          <w:sz w:val="24"/>
          <w:szCs w:val="24"/>
        </w:rPr>
        <w:t>la negrita es nuestra</w:t>
      </w:r>
      <w:r w:rsidRPr="00EC5079">
        <w:rPr>
          <w:rFonts w:ascii="Times New Roman" w:hAnsi="Times New Roman" w:cs="Times New Roman"/>
          <w:sz w:val="24"/>
          <w:szCs w:val="24"/>
        </w:rPr>
        <w:t>)</w:t>
      </w:r>
      <w:r w:rsidR="00DA0588" w:rsidRPr="00EC5079">
        <w:rPr>
          <w:rFonts w:ascii="Times New Roman" w:hAnsi="Times New Roman" w:cs="Times New Roman"/>
          <w:sz w:val="24"/>
          <w:szCs w:val="24"/>
        </w:rPr>
        <w:t xml:space="preserve">: </w:t>
      </w:r>
    </w:p>
    <w:p w:rsidR="00DA0588" w:rsidRPr="00EC5079" w:rsidRDefault="00DA0588" w:rsidP="0040576E">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0"/>
        </w:rPr>
      </w:pPr>
      <w:r w:rsidRPr="00EC5079">
        <w:rPr>
          <w:rFonts w:ascii="Times New Roman" w:hAnsi="Times New Roman" w:cs="Times New Roman"/>
          <w:i/>
          <w:sz w:val="20"/>
          <w:szCs w:val="20"/>
        </w:rPr>
        <w:t>“…</w:t>
      </w:r>
      <w:r w:rsidR="0040576E" w:rsidRPr="00EC5079">
        <w:rPr>
          <w:rFonts w:ascii="Times New Roman" w:hAnsi="Times New Roman" w:cs="Times New Roman"/>
          <w:i/>
          <w:sz w:val="20"/>
          <w:szCs w:val="20"/>
        </w:rPr>
        <w:t xml:space="preserve">el swap de tipos de interés es un contrato especialmente diseñado para aquellos casos en los que se espera que la tendencia de los tipos mantenga una determinada línea en el medio y largo plazo por lo que </w:t>
      </w:r>
      <w:r w:rsidR="0040576E" w:rsidRPr="00EC5079">
        <w:rPr>
          <w:rFonts w:ascii="Times New Roman" w:hAnsi="Times New Roman" w:cs="Times New Roman"/>
          <w:b/>
          <w:i/>
          <w:sz w:val="20"/>
          <w:szCs w:val="20"/>
        </w:rPr>
        <w:t>una de las aplicaciones más comunes que se ha dado a este producto derivado es la gestión de los riesgos financieros y el control  reducción de los costes de financiación</w:t>
      </w:r>
      <w:r w:rsidR="0040576E" w:rsidRPr="00EC5079">
        <w:rPr>
          <w:rFonts w:ascii="Times New Roman" w:hAnsi="Times New Roman" w:cs="Times New Roman"/>
          <w:i/>
          <w:sz w:val="20"/>
          <w:szCs w:val="20"/>
        </w:rPr>
        <w:t xml:space="preserve"> aunque también puede ser utilizado como producto de inversión sin relación con la deuda de quien lo contrata (sentencia de 21 de enero de 2010 Audiencia provincial de Gijón)…”</w:t>
      </w:r>
      <w:r w:rsidR="0040576E" w:rsidRPr="00EC5079">
        <w:rPr>
          <w:rStyle w:val="Refdenotaalpie"/>
          <w:rFonts w:ascii="Times New Roman" w:hAnsi="Times New Roman"/>
          <w:i/>
          <w:sz w:val="20"/>
          <w:szCs w:val="20"/>
        </w:rPr>
        <w:footnoteReference w:id="3"/>
      </w:r>
    </w:p>
    <w:p w:rsidR="0040576E" w:rsidRPr="00EC5079" w:rsidRDefault="0040576E" w:rsidP="0040576E">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0"/>
        </w:rPr>
      </w:pPr>
      <w:r w:rsidRPr="00EC5079">
        <w:rPr>
          <w:rFonts w:ascii="Times New Roman" w:hAnsi="Times New Roman" w:cs="Times New Roman"/>
          <w:i/>
          <w:sz w:val="20"/>
          <w:szCs w:val="20"/>
        </w:rPr>
        <w:t xml:space="preserve">“…a)- En primer lugar, ha de señalarse que </w:t>
      </w:r>
      <w:r w:rsidRPr="00EC5079">
        <w:rPr>
          <w:rFonts w:ascii="Times New Roman" w:hAnsi="Times New Roman" w:cs="Times New Roman"/>
          <w:b/>
          <w:i/>
          <w:sz w:val="20"/>
          <w:szCs w:val="20"/>
        </w:rPr>
        <w:t>mi mandante</w:t>
      </w:r>
      <w:r w:rsidRPr="00EC5079">
        <w:rPr>
          <w:rFonts w:ascii="Times New Roman" w:hAnsi="Times New Roman" w:cs="Times New Roman"/>
          <w:i/>
          <w:sz w:val="20"/>
          <w:szCs w:val="20"/>
        </w:rPr>
        <w:t xml:space="preserve"> no calificó en ningun momento el contrato como Seguro. Únicamente </w:t>
      </w:r>
      <w:r w:rsidRPr="00EC5079">
        <w:rPr>
          <w:rFonts w:ascii="Times New Roman" w:hAnsi="Times New Roman" w:cs="Times New Roman"/>
          <w:b/>
          <w:i/>
          <w:sz w:val="20"/>
          <w:szCs w:val="20"/>
        </w:rPr>
        <w:t>resaltó que el contrato cumplía una función de cobertura frente a las eventuales subidas del tipo de interés</w:t>
      </w:r>
      <w:r w:rsidRPr="00EC5079">
        <w:rPr>
          <w:rFonts w:ascii="Times New Roman" w:hAnsi="Times New Roman" w:cs="Times New Roman"/>
          <w:i/>
          <w:sz w:val="20"/>
          <w:szCs w:val="20"/>
        </w:rPr>
        <w:t xml:space="preserve"> …”</w:t>
      </w:r>
      <w:r w:rsidR="001B01F4" w:rsidRPr="00EC5079">
        <w:rPr>
          <w:rStyle w:val="Refdenotaalpie"/>
          <w:rFonts w:ascii="Times New Roman" w:hAnsi="Times New Roman"/>
          <w:i/>
          <w:sz w:val="20"/>
          <w:szCs w:val="20"/>
        </w:rPr>
        <w:footnoteReference w:id="4"/>
      </w:r>
    </w:p>
    <w:p w:rsidR="001B01F4" w:rsidRPr="00EC5079" w:rsidRDefault="001B01F4" w:rsidP="0040576E">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0"/>
        </w:rPr>
      </w:pPr>
      <w:r w:rsidRPr="00EC5079">
        <w:rPr>
          <w:rFonts w:ascii="Times New Roman" w:hAnsi="Times New Roman" w:cs="Times New Roman"/>
          <w:i/>
          <w:sz w:val="20"/>
          <w:szCs w:val="20"/>
        </w:rPr>
        <w:t>“…</w:t>
      </w:r>
      <w:r w:rsidRPr="00EC5079">
        <w:rPr>
          <w:rFonts w:ascii="Times New Roman" w:hAnsi="Times New Roman" w:cs="Times New Roman"/>
          <w:b/>
          <w:i/>
          <w:sz w:val="20"/>
          <w:szCs w:val="20"/>
        </w:rPr>
        <w:t>mi mandante se limitó</w:t>
      </w:r>
      <w:r w:rsidRPr="00EC5079">
        <w:rPr>
          <w:rFonts w:ascii="Times New Roman" w:hAnsi="Times New Roman" w:cs="Times New Roman"/>
          <w:i/>
          <w:sz w:val="20"/>
          <w:szCs w:val="20"/>
        </w:rPr>
        <w:t xml:space="preserve"> a dar cumplimiento a lo previsto en el artículo 19 de la Ley 36/2003 de 11 de noviembre de medidas de reforma Económica, </w:t>
      </w:r>
      <w:r w:rsidRPr="00EC5079">
        <w:rPr>
          <w:rFonts w:ascii="Times New Roman" w:hAnsi="Times New Roman" w:cs="Times New Roman"/>
          <w:b/>
          <w:i/>
          <w:sz w:val="20"/>
          <w:szCs w:val="20"/>
        </w:rPr>
        <w:t>al ofrecer un producto de cobertura del riesgo de incremento de los tipos de interés</w:t>
      </w:r>
      <w:r w:rsidRPr="00EC5079">
        <w:rPr>
          <w:rFonts w:ascii="Times New Roman" w:hAnsi="Times New Roman" w:cs="Times New Roman"/>
          <w:i/>
          <w:sz w:val="20"/>
          <w:szCs w:val="20"/>
        </w:rPr>
        <w:t xml:space="preserve">. En fin debemos recordar que el articulo 19 de la Ley 36/2003, </w:t>
      </w:r>
      <w:r w:rsidRPr="00EC5079">
        <w:rPr>
          <w:rFonts w:ascii="Times New Roman" w:hAnsi="Times New Roman" w:cs="Times New Roman"/>
          <w:i/>
          <w:sz w:val="20"/>
          <w:szCs w:val="20"/>
        </w:rPr>
        <w:lastRenderedPageBreak/>
        <w:t xml:space="preserve">de 11 de noviembre, de medidas de reforma Economica, </w:t>
      </w:r>
      <w:r w:rsidRPr="00EC5079">
        <w:rPr>
          <w:rFonts w:ascii="Times New Roman" w:hAnsi="Times New Roman" w:cs="Times New Roman"/>
          <w:b/>
          <w:i/>
          <w:sz w:val="20"/>
          <w:szCs w:val="20"/>
        </w:rPr>
        <w:t>obliga a mi mandante a ofrecer productos o sistemas de cobertura de tipos de interés</w:t>
      </w:r>
      <w:r w:rsidRPr="00EC5079">
        <w:rPr>
          <w:rFonts w:ascii="Times New Roman" w:hAnsi="Times New Roman" w:cs="Times New Roman"/>
          <w:i/>
          <w:sz w:val="20"/>
          <w:szCs w:val="20"/>
        </w:rPr>
        <w:t>…”</w:t>
      </w:r>
      <w:r w:rsidRPr="00EC5079">
        <w:rPr>
          <w:rStyle w:val="Refdenotaalpie"/>
          <w:rFonts w:ascii="Times New Roman" w:hAnsi="Times New Roman"/>
          <w:i/>
          <w:sz w:val="20"/>
          <w:szCs w:val="20"/>
        </w:rPr>
        <w:footnoteReference w:id="5"/>
      </w:r>
    </w:p>
    <w:p w:rsidR="00B8589A" w:rsidRPr="00EC5079" w:rsidRDefault="00B8589A" w:rsidP="0040576E">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0"/>
        </w:rPr>
      </w:pPr>
      <w:r w:rsidRPr="00EC5079">
        <w:rPr>
          <w:rFonts w:ascii="Times New Roman" w:hAnsi="Times New Roman" w:cs="Times New Roman"/>
          <w:i/>
          <w:sz w:val="20"/>
          <w:szCs w:val="20"/>
        </w:rPr>
        <w:t xml:space="preserve">“… </w:t>
      </w:r>
      <w:r w:rsidRPr="00EC5079">
        <w:rPr>
          <w:rFonts w:ascii="Times New Roman" w:hAnsi="Times New Roman" w:cs="Times New Roman"/>
          <w:b/>
          <w:i/>
          <w:sz w:val="20"/>
          <w:szCs w:val="20"/>
        </w:rPr>
        <w:t>E</w:t>
      </w:r>
      <w:r w:rsidR="001B01F4" w:rsidRPr="00EC5079">
        <w:rPr>
          <w:rFonts w:ascii="Times New Roman" w:hAnsi="Times New Roman" w:cs="Times New Roman"/>
          <w:b/>
          <w:i/>
          <w:sz w:val="20"/>
          <w:szCs w:val="20"/>
        </w:rPr>
        <w:t>n lo</w:t>
      </w:r>
      <w:r w:rsidR="001B01F4" w:rsidRPr="00EC5079">
        <w:rPr>
          <w:rFonts w:ascii="Times New Roman" w:hAnsi="Times New Roman" w:cs="Times New Roman"/>
          <w:i/>
          <w:sz w:val="20"/>
          <w:szCs w:val="20"/>
        </w:rPr>
        <w:t xml:space="preserve"> </w:t>
      </w:r>
      <w:r w:rsidR="001B01F4" w:rsidRPr="00EC5079">
        <w:rPr>
          <w:rFonts w:ascii="Times New Roman" w:hAnsi="Times New Roman" w:cs="Times New Roman"/>
          <w:b/>
          <w:i/>
          <w:sz w:val="20"/>
          <w:szCs w:val="20"/>
        </w:rPr>
        <w:t>relativo a la obligación de ofrecer productos financieros de cobertura</w:t>
      </w:r>
      <w:r w:rsidRPr="00EC5079">
        <w:rPr>
          <w:rFonts w:ascii="Times New Roman" w:hAnsi="Times New Roman" w:cs="Times New Roman"/>
          <w:i/>
          <w:sz w:val="20"/>
          <w:szCs w:val="20"/>
        </w:rPr>
        <w:t xml:space="preserve"> hemos de terminar indicando que</w:t>
      </w:r>
      <w:r w:rsidR="001B01F4" w:rsidRPr="00EC5079">
        <w:rPr>
          <w:rFonts w:ascii="Times New Roman" w:hAnsi="Times New Roman" w:cs="Times New Roman"/>
          <w:i/>
          <w:sz w:val="20"/>
          <w:szCs w:val="20"/>
        </w:rPr>
        <w:t xml:space="preserve">…” </w:t>
      </w:r>
      <w:r w:rsidR="001B01F4" w:rsidRPr="00EC5079">
        <w:rPr>
          <w:rStyle w:val="Refdenotaalpie"/>
          <w:rFonts w:ascii="Times New Roman" w:hAnsi="Times New Roman"/>
          <w:i/>
          <w:sz w:val="20"/>
          <w:szCs w:val="20"/>
        </w:rPr>
        <w:footnoteReference w:id="6"/>
      </w:r>
    </w:p>
    <w:p w:rsidR="000164EC" w:rsidRPr="00EC5079" w:rsidRDefault="001B01F4" w:rsidP="000164EC">
      <w:pPr>
        <w:tabs>
          <w:tab w:val="left" w:pos="142"/>
          <w:tab w:val="left" w:pos="567"/>
          <w:tab w:val="left" w:pos="709"/>
          <w:tab w:val="left" w:pos="851"/>
          <w:tab w:val="left" w:pos="1134"/>
          <w:tab w:val="left" w:pos="1418"/>
        </w:tabs>
        <w:spacing w:line="360" w:lineRule="auto"/>
        <w:ind w:left="567"/>
        <w:jc w:val="both"/>
        <w:rPr>
          <w:rFonts w:ascii="Times New Roman" w:hAnsi="Times New Roman" w:cs="Times New Roman"/>
          <w:i/>
          <w:sz w:val="20"/>
          <w:szCs w:val="20"/>
        </w:rPr>
      </w:pPr>
      <w:r w:rsidRPr="00EC5079">
        <w:rPr>
          <w:rFonts w:ascii="Times New Roman" w:hAnsi="Times New Roman" w:cs="Times New Roman"/>
          <w:i/>
          <w:sz w:val="20"/>
          <w:szCs w:val="20"/>
        </w:rPr>
        <w:t xml:space="preserve">“… En este estado de cosas </w:t>
      </w:r>
      <w:r w:rsidRPr="00EC5079">
        <w:rPr>
          <w:rFonts w:ascii="Times New Roman" w:hAnsi="Times New Roman" w:cs="Times New Roman"/>
          <w:b/>
          <w:i/>
          <w:sz w:val="20"/>
          <w:szCs w:val="20"/>
        </w:rPr>
        <w:t>mi mandante ofreció a la actora la posibilidad de suscribir un Contrato de permuta Financiera de Tipos de interés collar que venía a mitigar el riesgo de subida de tipos dentro de un determinado rango de valores</w:t>
      </w:r>
      <w:r w:rsidRPr="00EC5079">
        <w:rPr>
          <w:rFonts w:ascii="Times New Roman" w:hAnsi="Times New Roman" w:cs="Times New Roman"/>
          <w:i/>
          <w:sz w:val="20"/>
          <w:szCs w:val="20"/>
        </w:rPr>
        <w:t>….”</w:t>
      </w:r>
      <w:r w:rsidRPr="00EC5079">
        <w:rPr>
          <w:rStyle w:val="Refdenotaalpie"/>
          <w:rFonts w:ascii="Times New Roman" w:hAnsi="Times New Roman"/>
          <w:i/>
          <w:sz w:val="20"/>
          <w:szCs w:val="20"/>
        </w:rPr>
        <w:footnoteReference w:id="7"/>
      </w:r>
    </w:p>
    <w:p w:rsidR="002E7ED8" w:rsidRPr="00EC5079" w:rsidRDefault="000164EC" w:rsidP="002E7ED8">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Se puede apreciar directamente</w:t>
      </w:r>
      <w:r w:rsidRPr="00EC5079">
        <w:rPr>
          <w:rFonts w:ascii="Times New Roman" w:hAnsi="Times New Roman" w:cs="Times New Roman"/>
          <w:sz w:val="20"/>
          <w:szCs w:val="20"/>
        </w:rPr>
        <w:t xml:space="preserve"> </w:t>
      </w:r>
      <w:r w:rsidR="00B8589A" w:rsidRPr="00EC5079">
        <w:rPr>
          <w:rFonts w:ascii="Times New Roman" w:hAnsi="Times New Roman" w:cs="Times New Roman"/>
          <w:sz w:val="24"/>
          <w:szCs w:val="24"/>
        </w:rPr>
        <w:t>que en el caso que</w:t>
      </w:r>
      <w:r w:rsidR="0062633C" w:rsidRPr="00EC5079">
        <w:rPr>
          <w:rFonts w:ascii="Times New Roman" w:hAnsi="Times New Roman" w:cs="Times New Roman"/>
          <w:sz w:val="24"/>
          <w:szCs w:val="24"/>
        </w:rPr>
        <w:t xml:space="preserve"> nos ocupa, el contrato de swap (</w:t>
      </w:r>
      <w:r w:rsidR="0062633C" w:rsidRPr="00EC5079">
        <w:rPr>
          <w:rFonts w:ascii="Times New Roman" w:hAnsi="Times New Roman" w:cs="Times New Roman"/>
          <w:sz w:val="24"/>
          <w:szCs w:val="24"/>
          <w:u w:val="single"/>
        </w:rPr>
        <w:t>Documento núm.. 1 de la demanda</w:t>
      </w:r>
      <w:r w:rsidR="0062633C" w:rsidRPr="00EC5079">
        <w:rPr>
          <w:rFonts w:ascii="Times New Roman" w:hAnsi="Times New Roman" w:cs="Times New Roman"/>
          <w:sz w:val="24"/>
          <w:szCs w:val="24"/>
        </w:rPr>
        <w:t xml:space="preserve">) </w:t>
      </w:r>
      <w:r w:rsidR="00B8589A" w:rsidRPr="00EC5079">
        <w:rPr>
          <w:rFonts w:ascii="Times New Roman" w:hAnsi="Times New Roman" w:cs="Times New Roman"/>
          <w:sz w:val="24"/>
          <w:szCs w:val="24"/>
        </w:rPr>
        <w:t xml:space="preserve">se vinculó al posterior contrato de aval, por cuanto la </w:t>
      </w:r>
      <w:r w:rsidR="0062633C" w:rsidRPr="00EC5079">
        <w:rPr>
          <w:rFonts w:ascii="Times New Roman" w:hAnsi="Times New Roman" w:cs="Times New Roman"/>
          <w:sz w:val="24"/>
          <w:szCs w:val="24"/>
        </w:rPr>
        <w:t xml:space="preserve">fecha de contratación de ambos (junio de 2008), su respectiva duración </w:t>
      </w:r>
      <w:r w:rsidR="00B8589A" w:rsidRPr="00EC5079">
        <w:rPr>
          <w:rFonts w:ascii="Times New Roman" w:hAnsi="Times New Roman" w:cs="Times New Roman"/>
          <w:sz w:val="24"/>
          <w:szCs w:val="24"/>
        </w:rPr>
        <w:t>(</w:t>
      </w:r>
      <w:r w:rsidR="0062633C" w:rsidRPr="00EC5079">
        <w:rPr>
          <w:rFonts w:ascii="Times New Roman" w:hAnsi="Times New Roman" w:cs="Times New Roman"/>
          <w:sz w:val="24"/>
          <w:szCs w:val="24"/>
        </w:rPr>
        <w:t>5 años</w:t>
      </w:r>
      <w:r w:rsidR="00B8589A" w:rsidRPr="00EC5079">
        <w:rPr>
          <w:rFonts w:ascii="Times New Roman" w:hAnsi="Times New Roman" w:cs="Times New Roman"/>
          <w:sz w:val="24"/>
          <w:szCs w:val="24"/>
        </w:rPr>
        <w:t>) y el nominal (132.000€</w:t>
      </w:r>
      <w:r w:rsidR="0062633C" w:rsidRPr="00EC5079">
        <w:rPr>
          <w:rFonts w:ascii="Times New Roman" w:hAnsi="Times New Roman" w:cs="Times New Roman"/>
          <w:sz w:val="24"/>
          <w:szCs w:val="24"/>
        </w:rPr>
        <w:t xml:space="preserve"> en el swap y 132.175€ en el aval</w:t>
      </w:r>
      <w:r w:rsidR="00B8589A" w:rsidRPr="00EC5079">
        <w:rPr>
          <w:rFonts w:ascii="Times New Roman" w:hAnsi="Times New Roman" w:cs="Times New Roman"/>
          <w:sz w:val="24"/>
          <w:szCs w:val="24"/>
        </w:rPr>
        <w:t xml:space="preserve">) prácticamente coinciden. </w:t>
      </w:r>
    </w:p>
    <w:p w:rsidR="002E7ED8" w:rsidRPr="00EC5079" w:rsidRDefault="00B8589A" w:rsidP="002E7ED8">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Que a la postre </w:t>
      </w:r>
      <w:r w:rsidR="002E7ED8" w:rsidRPr="00EC5079">
        <w:rPr>
          <w:rFonts w:ascii="Times New Roman" w:hAnsi="Times New Roman" w:cs="Times New Roman"/>
          <w:sz w:val="24"/>
          <w:szCs w:val="24"/>
        </w:rPr>
        <w:t xml:space="preserve">el swap </w:t>
      </w:r>
      <w:r w:rsidRPr="00EC5079">
        <w:rPr>
          <w:rFonts w:ascii="Times New Roman" w:hAnsi="Times New Roman" w:cs="Times New Roman"/>
          <w:sz w:val="24"/>
          <w:szCs w:val="24"/>
        </w:rPr>
        <w:t xml:space="preserve">resultase </w:t>
      </w:r>
      <w:r w:rsidR="002E7ED8" w:rsidRPr="00EC5079">
        <w:rPr>
          <w:rFonts w:ascii="Times New Roman" w:hAnsi="Times New Roman" w:cs="Times New Roman"/>
          <w:sz w:val="24"/>
          <w:szCs w:val="24"/>
        </w:rPr>
        <w:t xml:space="preserve">ser </w:t>
      </w:r>
      <w:r w:rsidRPr="00EC5079">
        <w:rPr>
          <w:rFonts w:ascii="Times New Roman" w:hAnsi="Times New Roman" w:cs="Times New Roman"/>
          <w:sz w:val="24"/>
          <w:szCs w:val="24"/>
        </w:rPr>
        <w:t xml:space="preserve">un contrato </w:t>
      </w:r>
      <w:r w:rsidR="002E7ED8" w:rsidRPr="00EC5079">
        <w:rPr>
          <w:rFonts w:ascii="Times New Roman" w:hAnsi="Times New Roman" w:cs="Times New Roman"/>
          <w:sz w:val="24"/>
          <w:szCs w:val="24"/>
        </w:rPr>
        <w:t xml:space="preserve">especulativo </w:t>
      </w:r>
      <w:r w:rsidRPr="00EC5079">
        <w:rPr>
          <w:rFonts w:ascii="Times New Roman" w:hAnsi="Times New Roman" w:cs="Times New Roman"/>
          <w:sz w:val="24"/>
          <w:szCs w:val="24"/>
        </w:rPr>
        <w:t xml:space="preserve">que no podría cumplir con la finalidad </w:t>
      </w:r>
      <w:r w:rsidR="002E7ED8" w:rsidRPr="00EC5079">
        <w:rPr>
          <w:rFonts w:ascii="Times New Roman" w:hAnsi="Times New Roman" w:cs="Times New Roman"/>
          <w:sz w:val="24"/>
          <w:szCs w:val="24"/>
        </w:rPr>
        <w:t xml:space="preserve">de protección para la que fue ofertado </w:t>
      </w:r>
      <w:r w:rsidRPr="00EC5079">
        <w:rPr>
          <w:rFonts w:ascii="Times New Roman" w:hAnsi="Times New Roman" w:cs="Times New Roman"/>
          <w:sz w:val="24"/>
          <w:szCs w:val="24"/>
        </w:rPr>
        <w:t xml:space="preserve">debe incidir en la existencia del error, pero </w:t>
      </w:r>
      <w:r w:rsidR="002E7ED8" w:rsidRPr="00EC5079">
        <w:rPr>
          <w:rFonts w:ascii="Times New Roman" w:hAnsi="Times New Roman" w:cs="Times New Roman"/>
          <w:sz w:val="24"/>
          <w:szCs w:val="24"/>
        </w:rPr>
        <w:t>implica que el representante de la mercantil demandante conociese tal carácter desde un primer momento y mucho menos que asumiese riesgo alguno porque precisamente la idea que presidió la comercialización no fue la de inversión, sino la de protección al cliente rente a las subidas de los tipos de interés.</w:t>
      </w:r>
    </w:p>
    <w:p w:rsidR="00984FB2" w:rsidRPr="00EC5079" w:rsidRDefault="00EF14F5" w:rsidP="00984FB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El error de la sentencia consiste en atribuir a mi mandante la intención de querer “</w:t>
      </w:r>
      <w:r w:rsidRPr="00EC5079">
        <w:rPr>
          <w:rFonts w:ascii="Times New Roman" w:hAnsi="Times New Roman" w:cs="Times New Roman"/>
          <w:i/>
          <w:sz w:val="24"/>
          <w:szCs w:val="24"/>
        </w:rPr>
        <w:t>ganar dinero</w:t>
      </w:r>
      <w:r w:rsidRPr="00EC5079">
        <w:rPr>
          <w:rFonts w:ascii="Times New Roman" w:hAnsi="Times New Roman" w:cs="Times New Roman"/>
          <w:sz w:val="24"/>
          <w:szCs w:val="24"/>
        </w:rPr>
        <w:t xml:space="preserve">” con este producto. </w:t>
      </w:r>
      <w:r w:rsidR="00463977" w:rsidRPr="00EC5079">
        <w:rPr>
          <w:rFonts w:ascii="Times New Roman" w:hAnsi="Times New Roman" w:cs="Times New Roman"/>
          <w:sz w:val="24"/>
          <w:szCs w:val="24"/>
        </w:rPr>
        <w:t xml:space="preserve">Es obvio que nadie contrata para quedar perjudicado. Los contratos se suscriben por necesidad o para obtener un beneficio. En el caso de mi mandante este beneficio consistía en la posibilidad </w:t>
      </w:r>
      <w:r w:rsidR="00984FB2" w:rsidRPr="00EC5079">
        <w:rPr>
          <w:rFonts w:ascii="Times New Roman" w:hAnsi="Times New Roman" w:cs="Times New Roman"/>
          <w:sz w:val="24"/>
          <w:szCs w:val="24"/>
        </w:rPr>
        <w:t xml:space="preserve">protegerse frente a las subidas de los tipos de interés con este producto, tal y como le dijeron. Además, tras esta suscripción el banco le otorgaría la póliza de aval que Heineken España S.A. exigía a mi mandante para la celebración del contrato de compra de productos. </w:t>
      </w:r>
    </w:p>
    <w:p w:rsidR="00984FB2" w:rsidRPr="00EC5079" w:rsidRDefault="00984FB2" w:rsidP="00984FB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Si mi mandante hubiese sido consciente del componente especulativo, del riesgo de incurrir en enormes pérdidas como la liquidación negativa de 4.451,11€ de agosto de 2010 o de que en caso de que quisiese cancelar el producto tendría que hacer frente a una liquidación aproximada de 16.000€, evidentemente no hubiese suscrito el swap y hubiese buscado otra solución al contrato con Heineken España S.A.</w:t>
      </w:r>
    </w:p>
    <w:p w:rsidR="00984FB2" w:rsidRPr="00EC5079" w:rsidRDefault="008256CA" w:rsidP="00984FB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lastRenderedPageBreak/>
        <w:t xml:space="preserve">Por tanto, no se puede hacer pechar a mi mandante con las consecuencias del resultado de “la inversión” cuando jamás se advirtió ni fue consciente de que estaba invirtiendo, y lo anterior es pacífico por reconocimiento de ambas partes, por lo que la sentencia incurre en un error patente de valoración que venimos a atacar en este primer motivo. </w:t>
      </w:r>
    </w:p>
    <w:p w:rsidR="005F6C67" w:rsidRPr="00EC5079" w:rsidRDefault="005F6C67" w:rsidP="00EC42FF">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p>
    <w:p w:rsidR="00A70CBA" w:rsidRPr="00EC5079" w:rsidRDefault="005F6C67" w:rsidP="00B8589A">
      <w:pPr>
        <w:tabs>
          <w:tab w:val="left" w:pos="142"/>
          <w:tab w:val="left" w:pos="567"/>
          <w:tab w:val="left" w:pos="709"/>
          <w:tab w:val="left" w:pos="851"/>
          <w:tab w:val="left" w:pos="1134"/>
          <w:tab w:val="left" w:pos="1418"/>
        </w:tabs>
        <w:spacing w:line="360" w:lineRule="auto"/>
        <w:jc w:val="center"/>
        <w:rPr>
          <w:rFonts w:ascii="Times New Roman" w:hAnsi="Times New Roman" w:cs="Times New Roman"/>
          <w:b/>
          <w:color w:val="000000"/>
          <w:sz w:val="24"/>
          <w:szCs w:val="24"/>
        </w:rPr>
      </w:pPr>
      <w:r w:rsidRPr="00EC5079">
        <w:rPr>
          <w:rFonts w:ascii="Times New Roman" w:hAnsi="Times New Roman" w:cs="Times New Roman"/>
          <w:b/>
          <w:color w:val="000000"/>
          <w:sz w:val="24"/>
          <w:szCs w:val="24"/>
        </w:rPr>
        <w:t xml:space="preserve">SEGUNDO.- INFRACCIÓN DE NORMAS PROCESALES REGULADORAS DE LA SENTENCIA (artículo 469.1 2º LEC). </w:t>
      </w:r>
      <w:r w:rsidRPr="00EC5079">
        <w:rPr>
          <w:rFonts w:ascii="Times New Roman" w:hAnsi="Times New Roman" w:cs="Times New Roman"/>
          <w:b/>
          <w:sz w:val="24"/>
          <w:szCs w:val="24"/>
        </w:rPr>
        <w:t>VALORACIÓN  ARBITRARIA</w:t>
      </w:r>
      <w:r w:rsidRPr="00EC5079">
        <w:rPr>
          <w:rFonts w:ascii="Times New Roman" w:hAnsi="Times New Roman" w:cs="Times New Roman"/>
          <w:b/>
          <w:color w:val="000000"/>
          <w:sz w:val="24"/>
          <w:szCs w:val="24"/>
        </w:rPr>
        <w:t xml:space="preserve"> VULNERACIÓN DE LAS REGLAS DE LA LÓGICA Y LA RAZÓN (artículo. 218. 2 LEC)</w:t>
      </w:r>
      <w:r w:rsidR="00CE75C6">
        <w:rPr>
          <w:rFonts w:ascii="Times New Roman" w:hAnsi="Times New Roman" w:cs="Times New Roman"/>
          <w:b/>
          <w:color w:val="000000"/>
          <w:sz w:val="24"/>
          <w:szCs w:val="24"/>
        </w:rPr>
        <w:t xml:space="preserve">. NO EXISTIERON LIQUIDACIONES POSITIVAS EN EL SWAP. </w:t>
      </w:r>
    </w:p>
    <w:p w:rsidR="00DE0F94" w:rsidRPr="00EC5079" w:rsidRDefault="00B8589A" w:rsidP="00E01402">
      <w:pPr>
        <w:pStyle w:val="Prrafodelista"/>
        <w:numPr>
          <w:ilvl w:val="0"/>
          <w:numId w:val="48"/>
        </w:numPr>
        <w:tabs>
          <w:tab w:val="left" w:pos="142"/>
          <w:tab w:val="left" w:pos="567"/>
          <w:tab w:val="left" w:pos="709"/>
          <w:tab w:val="left" w:pos="851"/>
          <w:tab w:val="left" w:pos="1134"/>
          <w:tab w:val="left" w:pos="1418"/>
        </w:tabs>
        <w:spacing w:line="360" w:lineRule="auto"/>
        <w:jc w:val="both"/>
        <w:rPr>
          <w:b/>
        </w:rPr>
      </w:pPr>
      <w:r w:rsidRPr="00EC5079">
        <w:rPr>
          <w:b/>
        </w:rPr>
        <w:t>ENCABEZAMIENTO</w:t>
      </w:r>
    </w:p>
    <w:p w:rsidR="00E01402" w:rsidRPr="00EC5079" w:rsidRDefault="00E01402"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i/>
          <w:sz w:val="24"/>
          <w:szCs w:val="24"/>
        </w:rPr>
      </w:pPr>
      <w:r w:rsidRPr="00EC5079">
        <w:rPr>
          <w:rFonts w:ascii="Times New Roman" w:hAnsi="Times New Roman" w:cs="Times New Roman"/>
          <w:sz w:val="24"/>
          <w:szCs w:val="24"/>
        </w:rPr>
        <w:t>La sentencia que recurrimos mantiene que</w:t>
      </w:r>
      <w:r w:rsidR="0049733B" w:rsidRPr="00EC5079">
        <w:rPr>
          <w:rFonts w:ascii="Times New Roman" w:hAnsi="Times New Roman" w:cs="Times New Roman"/>
          <w:sz w:val="24"/>
          <w:szCs w:val="24"/>
        </w:rPr>
        <w:t xml:space="preserve"> es</w:t>
      </w:r>
      <w:r w:rsidRPr="00EC5079">
        <w:rPr>
          <w:rFonts w:ascii="Times New Roman" w:hAnsi="Times New Roman" w:cs="Times New Roman"/>
          <w:sz w:val="24"/>
          <w:szCs w:val="24"/>
        </w:rPr>
        <w:t xml:space="preserve"> </w:t>
      </w:r>
      <w:r w:rsidRPr="00EC5079">
        <w:rPr>
          <w:rFonts w:ascii="Times New Roman" w:hAnsi="Times New Roman" w:cs="Times New Roman"/>
          <w:i/>
          <w:sz w:val="24"/>
          <w:szCs w:val="24"/>
        </w:rPr>
        <w:t>“…significativa la omisión de acto alguno por parte de los directivos de la empresa y en concreto el Sr. Lechado, en quien se delegaba para verificar los ingresos y gastos de la empresa</w:t>
      </w:r>
      <w:r w:rsidR="0049733B" w:rsidRPr="00EC5079">
        <w:rPr>
          <w:rFonts w:ascii="Times New Roman" w:hAnsi="Times New Roman" w:cs="Times New Roman"/>
          <w:i/>
          <w:sz w:val="24"/>
          <w:szCs w:val="24"/>
        </w:rPr>
        <w:t xml:space="preserve">, </w:t>
      </w:r>
      <w:r w:rsidRPr="00EC5079">
        <w:rPr>
          <w:rFonts w:ascii="Times New Roman" w:hAnsi="Times New Roman" w:cs="Times New Roman"/>
          <w:i/>
          <w:sz w:val="24"/>
          <w:szCs w:val="24"/>
        </w:rPr>
        <w:t xml:space="preserve"> durante el periodo en que las liquidaciones le eran favorables, de cara a considerar que, como se concluye en la sentencia apelada, en el mejor de los casos no se trató de un error excusable…”</w:t>
      </w:r>
    </w:p>
    <w:p w:rsidR="0049733B" w:rsidRPr="00EC5079" w:rsidRDefault="0049733B"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Existe un error patente en la valoración </w:t>
      </w:r>
      <w:r w:rsidR="00807062" w:rsidRPr="00EC5079">
        <w:rPr>
          <w:rFonts w:ascii="Times New Roman" w:hAnsi="Times New Roman" w:cs="Times New Roman"/>
          <w:sz w:val="24"/>
          <w:szCs w:val="24"/>
        </w:rPr>
        <w:t>que realiza</w:t>
      </w:r>
      <w:r w:rsidRPr="00EC5079">
        <w:rPr>
          <w:rFonts w:ascii="Times New Roman" w:hAnsi="Times New Roman" w:cs="Times New Roman"/>
          <w:sz w:val="24"/>
          <w:szCs w:val="24"/>
        </w:rPr>
        <w:t xml:space="preserve"> la Audiencia puesto que en el caso que nos ocupa,  el swap </w:t>
      </w:r>
      <w:r w:rsidRPr="00EC5079">
        <w:rPr>
          <w:rFonts w:ascii="Times New Roman" w:hAnsi="Times New Roman" w:cs="Times New Roman"/>
          <w:b/>
          <w:sz w:val="24"/>
          <w:szCs w:val="24"/>
        </w:rPr>
        <w:t>nunca produjo liquidaciones positivas</w:t>
      </w:r>
      <w:r w:rsidRPr="00EC5079">
        <w:rPr>
          <w:rFonts w:ascii="Times New Roman" w:hAnsi="Times New Roman" w:cs="Times New Roman"/>
          <w:sz w:val="24"/>
          <w:szCs w:val="24"/>
        </w:rPr>
        <w:t xml:space="preserve">. Por tanto es irracional </w:t>
      </w:r>
      <w:r w:rsidR="00807062" w:rsidRPr="00EC5079">
        <w:rPr>
          <w:rFonts w:ascii="Times New Roman" w:hAnsi="Times New Roman" w:cs="Times New Roman"/>
          <w:sz w:val="24"/>
          <w:szCs w:val="24"/>
        </w:rPr>
        <w:t xml:space="preserve">y vulnera lo dispuesto en el art. 218.2 LEC, </w:t>
      </w:r>
      <w:r w:rsidRPr="00EC5079">
        <w:rPr>
          <w:rFonts w:ascii="Times New Roman" w:hAnsi="Times New Roman" w:cs="Times New Roman"/>
          <w:sz w:val="24"/>
          <w:szCs w:val="24"/>
        </w:rPr>
        <w:t>deducir algún tipo de</w:t>
      </w:r>
      <w:r w:rsidR="00807062" w:rsidRPr="00EC5079">
        <w:rPr>
          <w:rFonts w:ascii="Times New Roman" w:hAnsi="Times New Roman" w:cs="Times New Roman"/>
          <w:sz w:val="24"/>
          <w:szCs w:val="24"/>
        </w:rPr>
        <w:t xml:space="preserve"> consecuencia negativa a los efectos de excluir el error por </w:t>
      </w:r>
      <w:r w:rsidRPr="00EC5079">
        <w:rPr>
          <w:rFonts w:ascii="Times New Roman" w:hAnsi="Times New Roman" w:cs="Times New Roman"/>
          <w:sz w:val="24"/>
          <w:szCs w:val="24"/>
        </w:rPr>
        <w:t xml:space="preserve">el hecho de haber guardado silencio hasta la primera liquidación negativa, porque </w:t>
      </w:r>
      <w:r w:rsidR="00807062" w:rsidRPr="00EC5079">
        <w:rPr>
          <w:rFonts w:ascii="Times New Roman" w:hAnsi="Times New Roman" w:cs="Times New Roman"/>
          <w:sz w:val="24"/>
          <w:szCs w:val="24"/>
        </w:rPr>
        <w:t>lo cierto es que hasta ese momento, el</w:t>
      </w:r>
      <w:r w:rsidRPr="00EC5079">
        <w:rPr>
          <w:rFonts w:ascii="Times New Roman" w:hAnsi="Times New Roman" w:cs="Times New Roman"/>
          <w:sz w:val="24"/>
          <w:szCs w:val="24"/>
        </w:rPr>
        <w:t xml:space="preserve"> contrato no</w:t>
      </w:r>
      <w:r w:rsidR="008256CA" w:rsidRPr="00EC5079">
        <w:rPr>
          <w:rFonts w:ascii="Times New Roman" w:hAnsi="Times New Roman" w:cs="Times New Roman"/>
          <w:sz w:val="24"/>
          <w:szCs w:val="24"/>
        </w:rPr>
        <w:t xml:space="preserve"> había producido efecto alguno por tanto es lógico que ninguna reacción por los directivos de la empresa hubiese hasta ese momento. </w:t>
      </w:r>
    </w:p>
    <w:p w:rsidR="00807062" w:rsidRPr="00EC5079" w:rsidRDefault="00807062" w:rsidP="00807062">
      <w:pPr>
        <w:pStyle w:val="Prrafodelista"/>
        <w:numPr>
          <w:ilvl w:val="0"/>
          <w:numId w:val="48"/>
        </w:numPr>
        <w:tabs>
          <w:tab w:val="left" w:pos="142"/>
          <w:tab w:val="left" w:pos="567"/>
          <w:tab w:val="left" w:pos="709"/>
          <w:tab w:val="left" w:pos="851"/>
          <w:tab w:val="left" w:pos="1134"/>
          <w:tab w:val="left" w:pos="1418"/>
        </w:tabs>
        <w:spacing w:line="360" w:lineRule="auto"/>
        <w:jc w:val="both"/>
        <w:rPr>
          <w:b/>
        </w:rPr>
      </w:pPr>
      <w:r w:rsidRPr="00EC5079">
        <w:t xml:space="preserve"> </w:t>
      </w:r>
      <w:r w:rsidRPr="00EC5079">
        <w:rPr>
          <w:b/>
        </w:rPr>
        <w:t xml:space="preserve">DESARROLLO DEL MOTIVO. </w:t>
      </w:r>
    </w:p>
    <w:p w:rsidR="00807062" w:rsidRPr="00EC5079" w:rsidRDefault="008256CA" w:rsidP="008256CA">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Que una permuta financiera genere liquidaciones positivas o negativas depende de muchos factores, pero principalmente el diseño de la misma. F</w:t>
      </w:r>
      <w:r w:rsidR="00840EF4" w:rsidRPr="00EC5079">
        <w:rPr>
          <w:rFonts w:ascii="Times New Roman" w:hAnsi="Times New Roman" w:cs="Times New Roman"/>
          <w:sz w:val="24"/>
          <w:szCs w:val="24"/>
        </w:rPr>
        <w:t>actores como el año</w:t>
      </w:r>
      <w:r w:rsidR="008763F4" w:rsidRPr="00EC5079">
        <w:rPr>
          <w:rFonts w:ascii="Times New Roman" w:hAnsi="Times New Roman" w:cs="Times New Roman"/>
          <w:sz w:val="24"/>
          <w:szCs w:val="24"/>
        </w:rPr>
        <w:t xml:space="preserve"> de contratación, los tipos que se intercambian </w:t>
      </w:r>
      <w:r w:rsidRPr="00EC5079">
        <w:rPr>
          <w:rFonts w:ascii="Times New Roman" w:hAnsi="Times New Roman" w:cs="Times New Roman"/>
          <w:sz w:val="24"/>
          <w:szCs w:val="24"/>
        </w:rPr>
        <w:t>o</w:t>
      </w:r>
      <w:r w:rsidR="008763F4" w:rsidRPr="00EC5079">
        <w:rPr>
          <w:rFonts w:ascii="Times New Roman" w:hAnsi="Times New Roman" w:cs="Times New Roman"/>
          <w:sz w:val="24"/>
          <w:szCs w:val="24"/>
        </w:rPr>
        <w:t xml:space="preserve"> las fechas de las </w:t>
      </w:r>
      <w:r w:rsidR="00840EF4" w:rsidRPr="00EC5079">
        <w:rPr>
          <w:rFonts w:ascii="Times New Roman" w:hAnsi="Times New Roman" w:cs="Times New Roman"/>
          <w:sz w:val="24"/>
          <w:szCs w:val="24"/>
        </w:rPr>
        <w:t>liquidaciones,</w:t>
      </w:r>
      <w:r w:rsidRPr="00EC5079">
        <w:rPr>
          <w:rFonts w:ascii="Times New Roman" w:hAnsi="Times New Roman" w:cs="Times New Roman"/>
          <w:sz w:val="24"/>
          <w:szCs w:val="24"/>
        </w:rPr>
        <w:t xml:space="preserve"> determinan el resultado de las sucesivas liquidaciones de una permuta o swap.</w:t>
      </w:r>
      <w:r w:rsidR="00840EF4" w:rsidRPr="00EC5079">
        <w:rPr>
          <w:rFonts w:ascii="Times New Roman" w:hAnsi="Times New Roman" w:cs="Times New Roman"/>
          <w:sz w:val="24"/>
          <w:szCs w:val="24"/>
        </w:rPr>
        <w:t xml:space="preserve"> Generalmente las liq</w:t>
      </w:r>
      <w:r w:rsidR="00694238" w:rsidRPr="00EC5079">
        <w:rPr>
          <w:rFonts w:ascii="Times New Roman" w:hAnsi="Times New Roman" w:cs="Times New Roman"/>
          <w:sz w:val="24"/>
          <w:szCs w:val="24"/>
        </w:rPr>
        <w:t>uidaciones positivas se producían</w:t>
      </w:r>
      <w:r w:rsidR="00840EF4" w:rsidRPr="00EC5079">
        <w:rPr>
          <w:rFonts w:ascii="Times New Roman" w:hAnsi="Times New Roman" w:cs="Times New Roman"/>
          <w:sz w:val="24"/>
          <w:szCs w:val="24"/>
        </w:rPr>
        <w:t xml:space="preserve"> c</w:t>
      </w:r>
      <w:r w:rsidR="00694238" w:rsidRPr="00EC5079">
        <w:rPr>
          <w:rFonts w:ascii="Times New Roman" w:hAnsi="Times New Roman" w:cs="Times New Roman"/>
          <w:sz w:val="24"/>
          <w:szCs w:val="24"/>
        </w:rPr>
        <w:t>uando los tipos de interés estaban</w:t>
      </w:r>
      <w:r w:rsidR="00840EF4" w:rsidRPr="00EC5079">
        <w:rPr>
          <w:rFonts w:ascii="Times New Roman" w:hAnsi="Times New Roman" w:cs="Times New Roman"/>
          <w:sz w:val="24"/>
          <w:szCs w:val="24"/>
        </w:rPr>
        <w:t xml:space="preserve"> altos dando </w:t>
      </w:r>
      <w:r w:rsidR="00694238" w:rsidRPr="00EC5079">
        <w:rPr>
          <w:rFonts w:ascii="Times New Roman" w:hAnsi="Times New Roman" w:cs="Times New Roman"/>
          <w:sz w:val="24"/>
          <w:szCs w:val="24"/>
        </w:rPr>
        <w:t>aparente</w:t>
      </w:r>
      <w:r w:rsidR="00840EF4" w:rsidRPr="00EC5079">
        <w:rPr>
          <w:rFonts w:ascii="Times New Roman" w:hAnsi="Times New Roman" w:cs="Times New Roman"/>
          <w:sz w:val="24"/>
          <w:szCs w:val="24"/>
        </w:rPr>
        <w:t xml:space="preserve"> cumplimiento </w:t>
      </w:r>
      <w:r w:rsidR="00694238" w:rsidRPr="00EC5079">
        <w:rPr>
          <w:rFonts w:ascii="Times New Roman" w:hAnsi="Times New Roman" w:cs="Times New Roman"/>
          <w:sz w:val="24"/>
          <w:szCs w:val="24"/>
        </w:rPr>
        <w:t>a l</w:t>
      </w:r>
      <w:r w:rsidR="00840EF4" w:rsidRPr="00EC5079">
        <w:rPr>
          <w:rFonts w:ascii="Times New Roman" w:hAnsi="Times New Roman" w:cs="Times New Roman"/>
          <w:sz w:val="24"/>
          <w:szCs w:val="24"/>
        </w:rPr>
        <w:t xml:space="preserve">a teórica finalidad de protección frente a las subidas de los tipos de interés. No obstante, cuando la tendencia de tipos de invirtió y los tipos de interés empezaron a bajar, </w:t>
      </w:r>
      <w:r w:rsidR="008763F4" w:rsidRPr="00EC5079">
        <w:rPr>
          <w:rFonts w:ascii="Times New Roman" w:hAnsi="Times New Roman" w:cs="Times New Roman"/>
          <w:sz w:val="24"/>
          <w:szCs w:val="24"/>
        </w:rPr>
        <w:t xml:space="preserve">aquellos importes iniciales favorables al contratante, </w:t>
      </w:r>
      <w:r w:rsidR="00694238" w:rsidRPr="00EC5079">
        <w:rPr>
          <w:rFonts w:ascii="Times New Roman" w:hAnsi="Times New Roman" w:cs="Times New Roman"/>
          <w:sz w:val="24"/>
          <w:szCs w:val="24"/>
        </w:rPr>
        <w:t>se tornaron</w:t>
      </w:r>
      <w:r w:rsidR="00840EF4" w:rsidRPr="00EC5079">
        <w:rPr>
          <w:rFonts w:ascii="Times New Roman" w:hAnsi="Times New Roman" w:cs="Times New Roman"/>
          <w:sz w:val="24"/>
          <w:szCs w:val="24"/>
        </w:rPr>
        <w:t xml:space="preserve"> </w:t>
      </w:r>
      <w:r w:rsidR="00840EF4" w:rsidRPr="00EC5079">
        <w:rPr>
          <w:rFonts w:ascii="Times New Roman" w:hAnsi="Times New Roman" w:cs="Times New Roman"/>
          <w:sz w:val="24"/>
          <w:szCs w:val="24"/>
        </w:rPr>
        <w:lastRenderedPageBreak/>
        <w:t xml:space="preserve">adeudos </w:t>
      </w:r>
      <w:r w:rsidR="008763F4" w:rsidRPr="00EC5079">
        <w:rPr>
          <w:rFonts w:ascii="Times New Roman" w:hAnsi="Times New Roman" w:cs="Times New Roman"/>
          <w:sz w:val="24"/>
          <w:szCs w:val="24"/>
        </w:rPr>
        <w:t xml:space="preserve">en las cuentas de importes </w:t>
      </w:r>
      <w:r w:rsidR="00840EF4" w:rsidRPr="00EC5079">
        <w:rPr>
          <w:rFonts w:ascii="Times New Roman" w:hAnsi="Times New Roman" w:cs="Times New Roman"/>
          <w:sz w:val="24"/>
          <w:szCs w:val="24"/>
        </w:rPr>
        <w:t xml:space="preserve">casi diez veces mayores al de las </w:t>
      </w:r>
      <w:r w:rsidR="008763F4" w:rsidRPr="00EC5079">
        <w:rPr>
          <w:rFonts w:ascii="Times New Roman" w:hAnsi="Times New Roman" w:cs="Times New Roman"/>
          <w:sz w:val="24"/>
          <w:szCs w:val="24"/>
        </w:rPr>
        <w:t>liquidaciones positivas, siendo este el momento en el que</w:t>
      </w:r>
      <w:r w:rsidR="00840EF4" w:rsidRPr="00EC5079">
        <w:rPr>
          <w:rFonts w:ascii="Times New Roman" w:hAnsi="Times New Roman" w:cs="Times New Roman"/>
          <w:sz w:val="24"/>
          <w:szCs w:val="24"/>
        </w:rPr>
        <w:t xml:space="preserve"> el contratante</w:t>
      </w:r>
      <w:r w:rsidR="008763F4" w:rsidRPr="00EC5079">
        <w:rPr>
          <w:rFonts w:ascii="Times New Roman" w:hAnsi="Times New Roman" w:cs="Times New Roman"/>
          <w:sz w:val="24"/>
          <w:szCs w:val="24"/>
        </w:rPr>
        <w:t xml:space="preserve"> se empieza a cuestionar la verdadera naturaleza de lo que se ha contratado. </w:t>
      </w:r>
    </w:p>
    <w:p w:rsidR="00200418" w:rsidRDefault="00840EF4"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Lo anterior</w:t>
      </w:r>
      <w:r w:rsidR="008763F4" w:rsidRPr="00EC5079">
        <w:rPr>
          <w:rFonts w:ascii="Times New Roman" w:hAnsi="Times New Roman" w:cs="Times New Roman"/>
          <w:sz w:val="24"/>
          <w:szCs w:val="24"/>
        </w:rPr>
        <w:t xml:space="preserve"> suele ser emplead</w:t>
      </w:r>
      <w:r w:rsidRPr="00EC5079">
        <w:rPr>
          <w:rFonts w:ascii="Times New Roman" w:hAnsi="Times New Roman" w:cs="Times New Roman"/>
          <w:sz w:val="24"/>
          <w:szCs w:val="24"/>
        </w:rPr>
        <w:t>o</w:t>
      </w:r>
      <w:r w:rsidR="008763F4" w:rsidRPr="00EC5079">
        <w:rPr>
          <w:rFonts w:ascii="Times New Roman" w:hAnsi="Times New Roman" w:cs="Times New Roman"/>
          <w:sz w:val="24"/>
          <w:szCs w:val="24"/>
        </w:rPr>
        <w:t xml:space="preserve"> por las entidades bancarias para poner en tela de juicio la conducta del cliente </w:t>
      </w:r>
      <w:r w:rsidR="00694238" w:rsidRPr="00EC5079">
        <w:rPr>
          <w:rFonts w:ascii="Times New Roman" w:hAnsi="Times New Roman" w:cs="Times New Roman"/>
          <w:sz w:val="24"/>
          <w:szCs w:val="24"/>
        </w:rPr>
        <w:t xml:space="preserve">que aparentemente </w:t>
      </w:r>
      <w:r w:rsidRPr="00EC5079">
        <w:rPr>
          <w:rFonts w:ascii="Times New Roman" w:hAnsi="Times New Roman" w:cs="Times New Roman"/>
          <w:sz w:val="24"/>
          <w:szCs w:val="24"/>
        </w:rPr>
        <w:t xml:space="preserve">comprende el funcionamiento de la permuta cuando las liquidaciones le son favorables y lo cuestiona cuando le son desfavorables, queriendo ver en dicha conducta una especie de actuación </w:t>
      </w:r>
      <w:r w:rsidR="00200418">
        <w:rPr>
          <w:rFonts w:ascii="Times New Roman" w:hAnsi="Times New Roman" w:cs="Times New Roman"/>
          <w:sz w:val="24"/>
          <w:szCs w:val="24"/>
        </w:rPr>
        <w:t>en contra de los propios actos.</w:t>
      </w:r>
    </w:p>
    <w:p w:rsidR="008763F4" w:rsidRPr="00EC5079" w:rsidRDefault="00694238"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Esa idea es la empleada en la sentencia que recurrimos cuando manifiesta que es significativa la omisión de acto alguno por los directivos de la empresa cuando las liquidaciones le eran favorables. </w:t>
      </w:r>
    </w:p>
    <w:p w:rsidR="00CA4A78" w:rsidRPr="00EC5079" w:rsidRDefault="00200418"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No obstante, b</w:t>
      </w:r>
      <w:r w:rsidR="00694238" w:rsidRPr="00EC5079">
        <w:rPr>
          <w:rFonts w:ascii="Times New Roman" w:hAnsi="Times New Roman" w:cs="Times New Roman"/>
          <w:sz w:val="24"/>
          <w:szCs w:val="24"/>
        </w:rPr>
        <w:t>asta observar l</w:t>
      </w:r>
      <w:r w:rsidR="00725E6D" w:rsidRPr="00EC5079">
        <w:rPr>
          <w:rFonts w:ascii="Times New Roman" w:hAnsi="Times New Roman" w:cs="Times New Roman"/>
          <w:sz w:val="24"/>
          <w:szCs w:val="24"/>
        </w:rPr>
        <w:t xml:space="preserve">a operación aportada como </w:t>
      </w:r>
      <w:r w:rsidR="00725E6D" w:rsidRPr="00EC5079">
        <w:rPr>
          <w:rFonts w:ascii="Times New Roman" w:hAnsi="Times New Roman" w:cs="Times New Roman"/>
          <w:sz w:val="24"/>
          <w:szCs w:val="24"/>
          <w:u w:val="single"/>
        </w:rPr>
        <w:t xml:space="preserve">Documento </w:t>
      </w:r>
      <w:r w:rsidR="00694238" w:rsidRPr="00EC5079">
        <w:rPr>
          <w:rFonts w:ascii="Times New Roman" w:hAnsi="Times New Roman" w:cs="Times New Roman"/>
          <w:sz w:val="24"/>
          <w:szCs w:val="24"/>
          <w:u w:val="single"/>
        </w:rPr>
        <w:t>núm.</w:t>
      </w:r>
      <w:r w:rsidR="00725E6D" w:rsidRPr="00EC5079">
        <w:rPr>
          <w:rFonts w:ascii="Times New Roman" w:hAnsi="Times New Roman" w:cs="Times New Roman"/>
          <w:sz w:val="24"/>
          <w:szCs w:val="24"/>
          <w:u w:val="single"/>
        </w:rPr>
        <w:t xml:space="preserve"> </w:t>
      </w:r>
      <w:r w:rsidR="00694238" w:rsidRPr="00EC5079">
        <w:rPr>
          <w:rFonts w:ascii="Times New Roman" w:hAnsi="Times New Roman" w:cs="Times New Roman"/>
          <w:sz w:val="24"/>
          <w:szCs w:val="24"/>
          <w:u w:val="single"/>
        </w:rPr>
        <w:t>1</w:t>
      </w:r>
      <w:r w:rsidR="00725E6D" w:rsidRPr="00EC5079">
        <w:rPr>
          <w:rFonts w:ascii="Times New Roman" w:hAnsi="Times New Roman" w:cs="Times New Roman"/>
          <w:sz w:val="24"/>
          <w:szCs w:val="24"/>
        </w:rPr>
        <w:t xml:space="preserve"> de la demanda, </w:t>
      </w:r>
      <w:r w:rsidR="00694238" w:rsidRPr="00EC5079">
        <w:rPr>
          <w:rFonts w:ascii="Times New Roman" w:hAnsi="Times New Roman" w:cs="Times New Roman"/>
          <w:sz w:val="24"/>
          <w:szCs w:val="24"/>
        </w:rPr>
        <w:t xml:space="preserve"> para ver que </w:t>
      </w:r>
      <w:r w:rsidR="00725E6D" w:rsidRPr="00EC5079">
        <w:rPr>
          <w:rFonts w:ascii="Times New Roman" w:hAnsi="Times New Roman" w:cs="Times New Roman"/>
          <w:sz w:val="24"/>
          <w:szCs w:val="24"/>
        </w:rPr>
        <w:t>s</w:t>
      </w:r>
      <w:r w:rsidR="00840EF4" w:rsidRPr="00EC5079">
        <w:rPr>
          <w:rFonts w:ascii="Times New Roman" w:hAnsi="Times New Roman" w:cs="Times New Roman"/>
          <w:sz w:val="24"/>
          <w:szCs w:val="24"/>
        </w:rPr>
        <w:t xml:space="preserve">e trató de una “opción de tipo de interés collar” con fecha de inicio 30/08/2008 y fecha de vencimiento 30/08/2013, </w:t>
      </w:r>
      <w:r w:rsidR="00CA4A78" w:rsidRPr="00EC5079">
        <w:rPr>
          <w:rFonts w:ascii="Times New Roman" w:hAnsi="Times New Roman" w:cs="Times New Roman"/>
          <w:sz w:val="24"/>
          <w:szCs w:val="24"/>
        </w:rPr>
        <w:t xml:space="preserve">por importe nocional de 132.000€ y  un tipo CAP del 6,50% y tipo FLOOR del 4,65% contra Euribor a 12 meses. El Euribor seria el del segundo día hábil anterior a la fecha de inicio de cada periodo de cálculo, por tanto cada 28 de agosto de los años 2008, 2009, 2010, 2011 y 2012. </w:t>
      </w:r>
    </w:p>
    <w:p w:rsidR="00CA4A78" w:rsidRPr="00EC5079" w:rsidRDefault="00CA4A78"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Los tipos CAP y FLOOR operan</w:t>
      </w:r>
      <w:r w:rsidR="00725E6D" w:rsidRPr="00EC5079">
        <w:rPr>
          <w:rFonts w:ascii="Times New Roman" w:hAnsi="Times New Roman" w:cs="Times New Roman"/>
          <w:sz w:val="24"/>
          <w:szCs w:val="24"/>
        </w:rPr>
        <w:t xml:space="preserve"> </w:t>
      </w:r>
      <w:r w:rsidR="00694238" w:rsidRPr="00EC5079">
        <w:rPr>
          <w:rFonts w:ascii="Times New Roman" w:hAnsi="Times New Roman" w:cs="Times New Roman"/>
          <w:sz w:val="24"/>
          <w:szCs w:val="24"/>
        </w:rPr>
        <w:t xml:space="preserve">respectivamente </w:t>
      </w:r>
      <w:r w:rsidR="00725E6D" w:rsidRPr="00EC5079">
        <w:rPr>
          <w:rFonts w:ascii="Times New Roman" w:hAnsi="Times New Roman" w:cs="Times New Roman"/>
          <w:sz w:val="24"/>
          <w:szCs w:val="24"/>
        </w:rPr>
        <w:t xml:space="preserve">como </w:t>
      </w:r>
      <w:r w:rsidRPr="00EC5079">
        <w:rPr>
          <w:rFonts w:ascii="Times New Roman" w:hAnsi="Times New Roman" w:cs="Times New Roman"/>
          <w:sz w:val="24"/>
          <w:szCs w:val="24"/>
        </w:rPr>
        <w:t>“</w:t>
      </w:r>
      <w:r w:rsidRPr="00EC5079">
        <w:rPr>
          <w:rFonts w:ascii="Times New Roman" w:hAnsi="Times New Roman" w:cs="Times New Roman"/>
          <w:i/>
          <w:sz w:val="24"/>
          <w:szCs w:val="24"/>
        </w:rPr>
        <w:t>tope</w:t>
      </w:r>
      <w:r w:rsidR="00694238" w:rsidRPr="00EC5079">
        <w:rPr>
          <w:rFonts w:ascii="Times New Roman" w:hAnsi="Times New Roman" w:cs="Times New Roman"/>
          <w:i/>
          <w:sz w:val="24"/>
          <w:szCs w:val="24"/>
        </w:rPr>
        <w:t xml:space="preserve"> máximo</w:t>
      </w:r>
      <w:r w:rsidR="00694238" w:rsidRPr="00EC5079">
        <w:rPr>
          <w:rFonts w:ascii="Times New Roman" w:hAnsi="Times New Roman" w:cs="Times New Roman"/>
          <w:sz w:val="24"/>
          <w:szCs w:val="24"/>
        </w:rPr>
        <w:t>” y “</w:t>
      </w:r>
      <w:r w:rsidR="00694238" w:rsidRPr="00EC5079">
        <w:rPr>
          <w:rFonts w:ascii="Times New Roman" w:hAnsi="Times New Roman" w:cs="Times New Roman"/>
          <w:i/>
          <w:sz w:val="24"/>
          <w:szCs w:val="24"/>
        </w:rPr>
        <w:t>mínimo o suelo</w:t>
      </w:r>
      <w:r w:rsidR="00725E6D" w:rsidRPr="00EC5079">
        <w:rPr>
          <w:rFonts w:ascii="Times New Roman" w:hAnsi="Times New Roman" w:cs="Times New Roman"/>
          <w:sz w:val="24"/>
          <w:szCs w:val="24"/>
        </w:rPr>
        <w:t xml:space="preserve">” de manera que si el Euribor 12 meses </w:t>
      </w:r>
      <w:r w:rsidR="00694238" w:rsidRPr="00EC5079">
        <w:rPr>
          <w:rFonts w:ascii="Times New Roman" w:hAnsi="Times New Roman" w:cs="Times New Roman"/>
          <w:sz w:val="24"/>
          <w:szCs w:val="24"/>
        </w:rPr>
        <w:t>de cada 28 de agosto</w:t>
      </w:r>
      <w:r w:rsidR="00725E6D" w:rsidRPr="00EC5079">
        <w:rPr>
          <w:rFonts w:ascii="Times New Roman" w:hAnsi="Times New Roman" w:cs="Times New Roman"/>
          <w:sz w:val="24"/>
          <w:szCs w:val="24"/>
        </w:rPr>
        <w:t xml:space="preserve"> estuviera por encima del CAP se produciría</w:t>
      </w:r>
      <w:r w:rsidR="00694238" w:rsidRPr="00EC5079">
        <w:rPr>
          <w:rFonts w:ascii="Times New Roman" w:hAnsi="Times New Roman" w:cs="Times New Roman"/>
          <w:sz w:val="24"/>
          <w:szCs w:val="24"/>
        </w:rPr>
        <w:t xml:space="preserve"> una liquidación positiva </w:t>
      </w:r>
      <w:r w:rsidR="00725E6D" w:rsidRPr="00EC5079">
        <w:rPr>
          <w:rFonts w:ascii="Times New Roman" w:hAnsi="Times New Roman" w:cs="Times New Roman"/>
          <w:sz w:val="24"/>
          <w:szCs w:val="24"/>
        </w:rPr>
        <w:t xml:space="preserve">y </w:t>
      </w:r>
      <w:r w:rsidR="00200418">
        <w:rPr>
          <w:rFonts w:ascii="Times New Roman" w:hAnsi="Times New Roman" w:cs="Times New Roman"/>
          <w:sz w:val="24"/>
          <w:szCs w:val="24"/>
        </w:rPr>
        <w:t xml:space="preserve">si </w:t>
      </w:r>
      <w:r w:rsidR="00725E6D" w:rsidRPr="00EC5079">
        <w:rPr>
          <w:rFonts w:ascii="Times New Roman" w:hAnsi="Times New Roman" w:cs="Times New Roman"/>
          <w:sz w:val="24"/>
          <w:szCs w:val="24"/>
        </w:rPr>
        <w:t xml:space="preserve">estuviera por debajo del FLOOR se produciría una liquidación negativa. </w:t>
      </w:r>
      <w:r w:rsidR="00694238" w:rsidRPr="00EC5079">
        <w:rPr>
          <w:rFonts w:ascii="Times New Roman" w:hAnsi="Times New Roman" w:cs="Times New Roman"/>
          <w:sz w:val="24"/>
          <w:szCs w:val="24"/>
        </w:rPr>
        <w:t xml:space="preserve">La tercera opción es que el Euribor a 12 meses en una determinada revisión estuviese entre esas barreras máxima y mínima, en cuyo caso, </w:t>
      </w:r>
      <w:r w:rsidR="00F260BF" w:rsidRPr="00200418">
        <w:rPr>
          <w:rFonts w:ascii="Times New Roman" w:hAnsi="Times New Roman" w:cs="Times New Roman"/>
          <w:b/>
          <w:sz w:val="24"/>
          <w:szCs w:val="24"/>
        </w:rPr>
        <w:t>el resultado de la permuta seria neutral, sin liquidación a favor ni en contra</w:t>
      </w:r>
      <w:r w:rsidR="00F260BF" w:rsidRPr="00EC5079">
        <w:rPr>
          <w:rFonts w:ascii="Times New Roman" w:hAnsi="Times New Roman" w:cs="Times New Roman"/>
          <w:sz w:val="24"/>
          <w:szCs w:val="24"/>
        </w:rPr>
        <w:t>.</w:t>
      </w:r>
    </w:p>
    <w:p w:rsidR="00F260BF" w:rsidRPr="00EC5079" w:rsidRDefault="00F260BF"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En el procedimiento que nos ocupa, esta parte alegó que la primera noticia que había tenido de la permuta después de su contratación fue en agosto de 2010 con la primera liquidación que además había sido negativa por importe de 4.451,11€. La sala entiende</w:t>
      </w:r>
      <w:r w:rsidR="00200418">
        <w:rPr>
          <w:rFonts w:ascii="Times New Roman" w:hAnsi="Times New Roman" w:cs="Times New Roman"/>
          <w:sz w:val="24"/>
          <w:szCs w:val="24"/>
        </w:rPr>
        <w:t xml:space="preserve"> sin prueba alguna, </w:t>
      </w:r>
      <w:r w:rsidRPr="00EC5079">
        <w:rPr>
          <w:rFonts w:ascii="Times New Roman" w:hAnsi="Times New Roman" w:cs="Times New Roman"/>
          <w:sz w:val="24"/>
          <w:szCs w:val="24"/>
        </w:rPr>
        <w:t xml:space="preserve"> que antes de ese momento tendría que haberse producido una liquidación positiva y recrimina que mi mandante no se hubiese extrañado por tal abono. </w:t>
      </w:r>
      <w:r w:rsidRPr="00EC5079">
        <w:rPr>
          <w:rFonts w:ascii="Times New Roman" w:hAnsi="Times New Roman" w:cs="Times New Roman"/>
          <w:b/>
          <w:sz w:val="24"/>
          <w:szCs w:val="24"/>
        </w:rPr>
        <w:t>Pero lo anterior es un error patente de la sala.</w:t>
      </w:r>
      <w:r w:rsidRPr="00EC5079">
        <w:rPr>
          <w:rFonts w:ascii="Times New Roman" w:hAnsi="Times New Roman" w:cs="Times New Roman"/>
          <w:sz w:val="24"/>
          <w:szCs w:val="24"/>
        </w:rPr>
        <w:t xml:space="preserve"> </w:t>
      </w:r>
    </w:p>
    <w:p w:rsidR="00F260BF" w:rsidRPr="00EC5079" w:rsidRDefault="00F260BF"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En caso que nos ocupa, el propio banco se encargó de acreditar que el Euribor a 12 meses del mes de agosto de 2008 estuvo entre el 5,357% y el 5,313% (</w:t>
      </w:r>
      <w:r w:rsidRPr="00EC5079">
        <w:rPr>
          <w:rFonts w:ascii="Times New Roman" w:hAnsi="Times New Roman" w:cs="Times New Roman"/>
          <w:sz w:val="24"/>
          <w:szCs w:val="24"/>
          <w:u w:val="single"/>
        </w:rPr>
        <w:t>Doc. núm.. 6</w:t>
      </w:r>
      <w:r w:rsidRPr="00EC5079">
        <w:rPr>
          <w:rFonts w:ascii="Times New Roman" w:hAnsi="Times New Roman" w:cs="Times New Roman"/>
          <w:sz w:val="24"/>
          <w:szCs w:val="24"/>
        </w:rPr>
        <w:t xml:space="preserve"> de la contestación a la demanda), por tanto entre las barreras máximas CAP y mínima FLOOR, </w:t>
      </w:r>
      <w:r w:rsidRPr="00EC5079">
        <w:rPr>
          <w:rFonts w:ascii="Times New Roman" w:hAnsi="Times New Roman" w:cs="Times New Roman"/>
          <w:sz w:val="24"/>
          <w:szCs w:val="24"/>
        </w:rPr>
        <w:lastRenderedPageBreak/>
        <w:t xml:space="preserve">con lo que </w:t>
      </w:r>
      <w:r w:rsidRPr="00EC5079">
        <w:rPr>
          <w:rFonts w:ascii="Times New Roman" w:hAnsi="Times New Roman" w:cs="Times New Roman"/>
          <w:b/>
          <w:sz w:val="24"/>
          <w:szCs w:val="24"/>
        </w:rPr>
        <w:t>no llego a producirse liquidación alguna. En esa situación, es lógica la ausencia de acto alguno por parte de los demandantes.</w:t>
      </w:r>
      <w:r w:rsidRPr="00EC5079">
        <w:rPr>
          <w:rFonts w:ascii="Times New Roman" w:hAnsi="Times New Roman" w:cs="Times New Roman"/>
          <w:sz w:val="24"/>
          <w:szCs w:val="24"/>
        </w:rPr>
        <w:t xml:space="preserve"> </w:t>
      </w:r>
    </w:p>
    <w:p w:rsidR="00052E6D" w:rsidRPr="00EC5079" w:rsidRDefault="0068639F" w:rsidP="00E01402">
      <w:pPr>
        <w:tabs>
          <w:tab w:val="left" w:pos="142"/>
          <w:tab w:val="left" w:pos="567"/>
          <w:tab w:val="left" w:pos="709"/>
          <w:tab w:val="left" w:pos="851"/>
          <w:tab w:val="left" w:pos="1134"/>
          <w:tab w:val="left" w:pos="1418"/>
        </w:tabs>
        <w:spacing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Aun cuando es constante la jurisprudencia que considera que es normal </w:t>
      </w:r>
      <w:r w:rsidR="00BB4729" w:rsidRPr="00EC5079">
        <w:rPr>
          <w:rFonts w:ascii="Times New Roman" w:hAnsi="Times New Roman" w:cs="Times New Roman"/>
          <w:sz w:val="24"/>
          <w:szCs w:val="24"/>
        </w:rPr>
        <w:t xml:space="preserve">y lógico </w:t>
      </w:r>
      <w:r w:rsidRPr="00EC5079">
        <w:rPr>
          <w:rFonts w:ascii="Times New Roman" w:hAnsi="Times New Roman" w:cs="Times New Roman"/>
          <w:sz w:val="24"/>
          <w:szCs w:val="24"/>
        </w:rPr>
        <w:t xml:space="preserve">que el cliente cuestione el producto </w:t>
      </w:r>
      <w:r w:rsidR="00F260BF" w:rsidRPr="00EC5079">
        <w:rPr>
          <w:rFonts w:ascii="Times New Roman" w:hAnsi="Times New Roman" w:cs="Times New Roman"/>
          <w:sz w:val="24"/>
          <w:szCs w:val="24"/>
        </w:rPr>
        <w:t xml:space="preserve">sólo </w:t>
      </w:r>
      <w:r w:rsidRPr="00EC5079">
        <w:rPr>
          <w:rFonts w:ascii="Times New Roman" w:hAnsi="Times New Roman" w:cs="Times New Roman"/>
          <w:sz w:val="24"/>
          <w:szCs w:val="24"/>
        </w:rPr>
        <w:t>con la liquidación negativa y no con la</w:t>
      </w:r>
      <w:r w:rsidR="00F260BF" w:rsidRPr="00EC5079">
        <w:rPr>
          <w:rFonts w:ascii="Times New Roman" w:hAnsi="Times New Roman" w:cs="Times New Roman"/>
          <w:sz w:val="24"/>
          <w:szCs w:val="24"/>
        </w:rPr>
        <w:t>s</w:t>
      </w:r>
      <w:r w:rsidRPr="00EC5079">
        <w:rPr>
          <w:rFonts w:ascii="Times New Roman" w:hAnsi="Times New Roman" w:cs="Times New Roman"/>
          <w:sz w:val="24"/>
          <w:szCs w:val="24"/>
        </w:rPr>
        <w:t xml:space="preserve"> positiva</w:t>
      </w:r>
      <w:r w:rsidR="00F260BF" w:rsidRPr="00EC5079">
        <w:rPr>
          <w:rFonts w:ascii="Times New Roman" w:hAnsi="Times New Roman" w:cs="Times New Roman"/>
          <w:sz w:val="24"/>
          <w:szCs w:val="24"/>
        </w:rPr>
        <w:t>s</w:t>
      </w:r>
      <w:r w:rsidRPr="00EC5079">
        <w:rPr>
          <w:rFonts w:ascii="Times New Roman" w:hAnsi="Times New Roman" w:cs="Times New Roman"/>
          <w:sz w:val="24"/>
          <w:szCs w:val="24"/>
        </w:rPr>
        <w:t xml:space="preserve"> porque es</w:t>
      </w:r>
      <w:r w:rsidR="00BB4729" w:rsidRPr="00EC5079">
        <w:rPr>
          <w:rFonts w:ascii="Times New Roman" w:hAnsi="Times New Roman" w:cs="Times New Roman"/>
          <w:sz w:val="24"/>
          <w:szCs w:val="24"/>
        </w:rPr>
        <w:t xml:space="preserve"> entonces </w:t>
      </w:r>
      <w:r w:rsidRPr="00EC5079">
        <w:rPr>
          <w:rFonts w:ascii="Times New Roman" w:hAnsi="Times New Roman" w:cs="Times New Roman"/>
          <w:sz w:val="24"/>
          <w:szCs w:val="24"/>
        </w:rPr>
        <w:t xml:space="preserve">cuando puede empezar a comprender el funcionamiento y riesgo del producto, en este caso además </w:t>
      </w:r>
      <w:r w:rsidR="00052E6D" w:rsidRPr="00EC5079">
        <w:rPr>
          <w:rFonts w:ascii="Times New Roman" w:hAnsi="Times New Roman" w:cs="Times New Roman"/>
          <w:sz w:val="24"/>
          <w:szCs w:val="24"/>
        </w:rPr>
        <w:t xml:space="preserve">ni siquiera existió liquidación positiva por el propio diseño del producto. </w:t>
      </w:r>
    </w:p>
    <w:p w:rsidR="008A1F98" w:rsidRPr="00EC5079" w:rsidRDefault="00052E6D" w:rsidP="00FB180A">
      <w:pPr>
        <w:tabs>
          <w:tab w:val="left" w:pos="142"/>
          <w:tab w:val="left" w:pos="567"/>
          <w:tab w:val="left" w:pos="709"/>
          <w:tab w:val="left" w:pos="851"/>
          <w:tab w:val="left" w:pos="1134"/>
          <w:tab w:val="left" w:pos="1418"/>
        </w:tabs>
        <w:spacing w:line="360" w:lineRule="auto"/>
        <w:jc w:val="both"/>
        <w:rPr>
          <w:rFonts w:ascii="Times New Roman" w:hAnsi="Times New Roman" w:cs="Times New Roman"/>
          <w:b/>
          <w:sz w:val="24"/>
          <w:szCs w:val="24"/>
          <w:u w:val="single"/>
        </w:rPr>
      </w:pPr>
      <w:r w:rsidRPr="00EC5079">
        <w:rPr>
          <w:rFonts w:ascii="Times New Roman" w:hAnsi="Times New Roman" w:cs="Times New Roman"/>
          <w:sz w:val="24"/>
          <w:szCs w:val="24"/>
        </w:rPr>
        <w:t xml:space="preserve">Por tanto, </w:t>
      </w:r>
      <w:r w:rsidR="00BB4729" w:rsidRPr="00EC5079">
        <w:rPr>
          <w:rFonts w:ascii="Times New Roman" w:hAnsi="Times New Roman" w:cs="Times New Roman"/>
          <w:sz w:val="24"/>
          <w:szCs w:val="24"/>
        </w:rPr>
        <w:t>no solo es contrario a la jurisprudencia</w:t>
      </w:r>
      <w:r w:rsidR="00FB180A" w:rsidRPr="00EC5079">
        <w:rPr>
          <w:rFonts w:ascii="Times New Roman" w:hAnsi="Times New Roman" w:cs="Times New Roman"/>
          <w:sz w:val="24"/>
          <w:szCs w:val="24"/>
        </w:rPr>
        <w:t xml:space="preserve"> (que sería objeto de casación) </w:t>
      </w:r>
      <w:r w:rsidR="00BB4729" w:rsidRPr="00EC5079">
        <w:rPr>
          <w:rFonts w:ascii="Times New Roman" w:hAnsi="Times New Roman" w:cs="Times New Roman"/>
          <w:sz w:val="24"/>
          <w:szCs w:val="24"/>
        </w:rPr>
        <w:t xml:space="preserve">deducir de dicho silencio una consecuencia negativa para el cliente a los efectos de excluir el error, sino que además es ilógico e irracional </w:t>
      </w:r>
      <w:r w:rsidR="00FB180A" w:rsidRPr="00EC5079">
        <w:rPr>
          <w:rFonts w:ascii="Times New Roman" w:hAnsi="Times New Roman" w:cs="Times New Roman"/>
          <w:sz w:val="24"/>
          <w:szCs w:val="24"/>
        </w:rPr>
        <w:t xml:space="preserve">dicha valoración </w:t>
      </w:r>
      <w:r w:rsidR="00BB4729" w:rsidRPr="00EC5079">
        <w:rPr>
          <w:rFonts w:ascii="Times New Roman" w:hAnsi="Times New Roman" w:cs="Times New Roman"/>
          <w:sz w:val="24"/>
          <w:szCs w:val="24"/>
        </w:rPr>
        <w:t xml:space="preserve">por cuanto si en aquella época el swap fue inocuo, </w:t>
      </w:r>
      <w:r w:rsidR="00FB180A" w:rsidRPr="00EC5079">
        <w:rPr>
          <w:rFonts w:ascii="Times New Roman" w:hAnsi="Times New Roman" w:cs="Times New Roman"/>
          <w:sz w:val="24"/>
          <w:szCs w:val="24"/>
        </w:rPr>
        <w:t>jamás</w:t>
      </w:r>
      <w:r w:rsidR="00BB4729" w:rsidRPr="00EC5079">
        <w:rPr>
          <w:rFonts w:ascii="Times New Roman" w:hAnsi="Times New Roman" w:cs="Times New Roman"/>
          <w:sz w:val="24"/>
          <w:szCs w:val="24"/>
        </w:rPr>
        <w:t xml:space="preserve"> el cliente podría haberse quejado</w:t>
      </w:r>
      <w:r w:rsidR="00FB180A" w:rsidRPr="00EC5079">
        <w:rPr>
          <w:rFonts w:ascii="Times New Roman" w:hAnsi="Times New Roman" w:cs="Times New Roman"/>
          <w:sz w:val="24"/>
          <w:szCs w:val="24"/>
        </w:rPr>
        <w:t xml:space="preserve"> ante la ausencia de liquidaciones. </w:t>
      </w:r>
    </w:p>
    <w:p w:rsidR="008A1F98" w:rsidRPr="00EC5079" w:rsidRDefault="008A1F98" w:rsidP="00265F4D">
      <w:pPr>
        <w:spacing w:line="360" w:lineRule="auto"/>
        <w:jc w:val="center"/>
        <w:rPr>
          <w:rFonts w:ascii="Times New Roman" w:hAnsi="Times New Roman" w:cs="Times New Roman"/>
          <w:b/>
          <w:sz w:val="24"/>
          <w:szCs w:val="24"/>
          <w:u w:val="single"/>
        </w:rPr>
      </w:pPr>
    </w:p>
    <w:p w:rsidR="00BC4087" w:rsidRPr="00EC5079" w:rsidRDefault="00BC4087" w:rsidP="00265F4D">
      <w:pPr>
        <w:spacing w:line="360" w:lineRule="auto"/>
        <w:jc w:val="center"/>
        <w:rPr>
          <w:rFonts w:ascii="Times New Roman" w:hAnsi="Times New Roman" w:cs="Times New Roman"/>
          <w:b/>
          <w:color w:val="70AD47" w:themeColor="accent6"/>
          <w:sz w:val="24"/>
          <w:szCs w:val="24"/>
          <w:u w:val="single"/>
        </w:rPr>
      </w:pPr>
      <w:r w:rsidRPr="00EC5079">
        <w:rPr>
          <w:rFonts w:ascii="Times New Roman" w:hAnsi="Times New Roman" w:cs="Times New Roman"/>
          <w:b/>
          <w:sz w:val="24"/>
          <w:szCs w:val="24"/>
          <w:u w:val="single"/>
        </w:rPr>
        <w:t>MOTIVOS DEL RECURSO</w:t>
      </w:r>
      <w:r w:rsidR="001A1D83" w:rsidRPr="00EC5079">
        <w:rPr>
          <w:rFonts w:ascii="Times New Roman" w:hAnsi="Times New Roman" w:cs="Times New Roman"/>
          <w:b/>
          <w:sz w:val="24"/>
          <w:szCs w:val="24"/>
          <w:u w:val="single"/>
        </w:rPr>
        <w:t xml:space="preserve"> DE CASACION</w:t>
      </w:r>
      <w:r w:rsidRPr="00EC5079">
        <w:rPr>
          <w:rFonts w:ascii="Times New Roman" w:hAnsi="Times New Roman" w:cs="Times New Roman"/>
          <w:b/>
          <w:sz w:val="24"/>
          <w:szCs w:val="24"/>
          <w:u w:val="single"/>
        </w:rPr>
        <w:t>:</w:t>
      </w:r>
    </w:p>
    <w:p w:rsidR="00E72B55" w:rsidRPr="00EC5079" w:rsidRDefault="00E72B55" w:rsidP="00265F4D">
      <w:pPr>
        <w:spacing w:line="360" w:lineRule="auto"/>
        <w:jc w:val="center"/>
        <w:rPr>
          <w:rFonts w:ascii="Times New Roman" w:hAnsi="Times New Roman" w:cs="Times New Roman"/>
          <w:b/>
          <w:color w:val="70AD47" w:themeColor="accent6"/>
          <w:sz w:val="24"/>
          <w:szCs w:val="24"/>
          <w:u w:val="single"/>
        </w:rPr>
      </w:pPr>
    </w:p>
    <w:p w:rsidR="00E72B55" w:rsidRPr="00C94B70" w:rsidRDefault="005F6C67" w:rsidP="00E72B55">
      <w:pPr>
        <w:spacing w:after="0" w:line="360" w:lineRule="auto"/>
        <w:jc w:val="center"/>
        <w:rPr>
          <w:rFonts w:ascii="Times New Roman" w:hAnsi="Times New Roman" w:cs="Times New Roman"/>
          <w:b/>
          <w:sz w:val="24"/>
          <w:szCs w:val="24"/>
          <w:lang w:eastAsia="es-ES"/>
        </w:rPr>
      </w:pPr>
      <w:r w:rsidRPr="00C94B70">
        <w:rPr>
          <w:rFonts w:ascii="Times New Roman" w:hAnsi="Times New Roman" w:cs="Times New Roman"/>
          <w:b/>
          <w:sz w:val="24"/>
          <w:szCs w:val="24"/>
          <w:lang w:eastAsia="es-ES"/>
        </w:rPr>
        <w:t xml:space="preserve">PRIMER MOTIVO: INFRACCION DE LA DISPOSICIÓN FINAL 6ª DE LA LEY 47/2007 DE 19 DE DICIEMBRE DE REFORMA DE LA LMV PARA ADAPTARLA A LA DIRECTIVA MIFID Y DISPOSICIÓN FINAL 4ª DEL RD 217/2008 DE 15 DE FEBRERO.  LA OBLIGACION DE SOMETER A CLIENTE BANCARIO A LA REALIZACION DEL TEST DE IDONEIDAD ESTABA VIGENTE AL TIEMPO DE LA CELEBRACION DEL CONTRATO.  </w:t>
      </w:r>
    </w:p>
    <w:p w:rsidR="00E72B55" w:rsidRPr="00EC5079" w:rsidRDefault="00E72B55" w:rsidP="00E72B55">
      <w:pPr>
        <w:spacing w:after="0" w:line="360" w:lineRule="auto"/>
        <w:jc w:val="center"/>
        <w:rPr>
          <w:rFonts w:ascii="Times New Roman" w:hAnsi="Times New Roman" w:cs="Times New Roman"/>
          <w:b/>
          <w:sz w:val="24"/>
          <w:szCs w:val="24"/>
          <w:u w:val="single"/>
          <w:lang w:eastAsia="es-ES"/>
        </w:rPr>
      </w:pPr>
    </w:p>
    <w:p w:rsidR="00E72B55" w:rsidRPr="00EC5079" w:rsidRDefault="00E72B55" w:rsidP="00E72B55">
      <w:pPr>
        <w:numPr>
          <w:ilvl w:val="0"/>
          <w:numId w:val="34"/>
        </w:numPr>
        <w:spacing w:after="0" w:line="360" w:lineRule="auto"/>
        <w:contextualSpacing/>
        <w:jc w:val="both"/>
        <w:rPr>
          <w:rFonts w:ascii="Times New Roman" w:hAnsi="Times New Roman" w:cs="Times New Roman"/>
          <w:sz w:val="24"/>
          <w:szCs w:val="24"/>
          <w:lang w:eastAsia="es-ES"/>
        </w:rPr>
      </w:pPr>
      <w:r w:rsidRPr="00EC5079">
        <w:rPr>
          <w:rFonts w:ascii="Times New Roman" w:hAnsi="Times New Roman" w:cs="Times New Roman"/>
          <w:b/>
          <w:sz w:val="24"/>
          <w:szCs w:val="24"/>
          <w:lang w:eastAsia="es-ES"/>
        </w:rPr>
        <w:t>ENCABEZAMIENTO.</w:t>
      </w:r>
    </w:p>
    <w:p w:rsidR="00E72B55" w:rsidRPr="00EC5079" w:rsidRDefault="00E72B55" w:rsidP="00E72B55">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La sentencia que recurrimos mantiene que la obligación de realizar </w:t>
      </w:r>
      <w:r w:rsidR="002378D7" w:rsidRPr="00EC5079">
        <w:rPr>
          <w:rFonts w:ascii="Times New Roman" w:hAnsi="Times New Roman" w:cs="Times New Roman"/>
          <w:sz w:val="24"/>
          <w:szCs w:val="24"/>
        </w:rPr>
        <w:t>“</w:t>
      </w:r>
      <w:r w:rsidRPr="00EC5079">
        <w:rPr>
          <w:rFonts w:ascii="Times New Roman" w:hAnsi="Times New Roman" w:cs="Times New Roman"/>
          <w:sz w:val="24"/>
          <w:szCs w:val="24"/>
        </w:rPr>
        <w:t>test de conveniencia</w:t>
      </w:r>
      <w:r w:rsidR="002378D7" w:rsidRPr="00EC5079">
        <w:rPr>
          <w:rFonts w:ascii="Times New Roman" w:hAnsi="Times New Roman" w:cs="Times New Roman"/>
          <w:sz w:val="24"/>
          <w:szCs w:val="24"/>
        </w:rPr>
        <w:t>” (</w:t>
      </w:r>
      <w:r w:rsidR="002378D7" w:rsidRPr="00EC5079">
        <w:rPr>
          <w:rFonts w:ascii="Times New Roman" w:hAnsi="Times New Roman" w:cs="Times New Roman"/>
          <w:i/>
          <w:sz w:val="24"/>
          <w:szCs w:val="24"/>
        </w:rPr>
        <w:t>según la sentencia</w:t>
      </w:r>
      <w:r w:rsidR="002378D7" w:rsidRPr="00EC5079">
        <w:rPr>
          <w:rFonts w:ascii="Times New Roman" w:hAnsi="Times New Roman" w:cs="Times New Roman"/>
          <w:sz w:val="24"/>
          <w:szCs w:val="24"/>
        </w:rPr>
        <w:t>)</w:t>
      </w:r>
      <w:r w:rsidRPr="00EC5079">
        <w:rPr>
          <w:rFonts w:ascii="Times New Roman" w:hAnsi="Times New Roman" w:cs="Times New Roman"/>
          <w:sz w:val="24"/>
          <w:szCs w:val="24"/>
        </w:rPr>
        <w:t xml:space="preserve"> por parte del banco no estaba vigente</w:t>
      </w:r>
      <w:r w:rsidR="002378D7" w:rsidRPr="00EC5079">
        <w:rPr>
          <w:rFonts w:ascii="Times New Roman" w:hAnsi="Times New Roman" w:cs="Times New Roman"/>
          <w:sz w:val="24"/>
          <w:szCs w:val="24"/>
        </w:rPr>
        <w:t xml:space="preserve"> en el momento de la perfección d</w:t>
      </w:r>
      <w:r w:rsidRPr="00EC5079">
        <w:rPr>
          <w:rFonts w:ascii="Times New Roman" w:hAnsi="Times New Roman" w:cs="Times New Roman"/>
          <w:sz w:val="24"/>
          <w:szCs w:val="24"/>
        </w:rPr>
        <w:t>el</w:t>
      </w:r>
      <w:r w:rsidR="002378D7" w:rsidRPr="00EC5079">
        <w:rPr>
          <w:rFonts w:ascii="Times New Roman" w:hAnsi="Times New Roman" w:cs="Times New Roman"/>
          <w:sz w:val="24"/>
          <w:szCs w:val="24"/>
        </w:rPr>
        <w:t xml:space="preserve"> contrato, el</w:t>
      </w:r>
      <w:r w:rsidRPr="00EC5079">
        <w:rPr>
          <w:rFonts w:ascii="Times New Roman" w:hAnsi="Times New Roman" w:cs="Times New Roman"/>
          <w:sz w:val="24"/>
          <w:szCs w:val="24"/>
        </w:rPr>
        <w:t xml:space="preserve"> </w:t>
      </w:r>
      <w:r w:rsidR="002378D7" w:rsidRPr="00EC5079">
        <w:rPr>
          <w:rFonts w:ascii="Times New Roman" w:hAnsi="Times New Roman" w:cs="Times New Roman"/>
          <w:sz w:val="24"/>
          <w:szCs w:val="24"/>
        </w:rPr>
        <w:t>“</w:t>
      </w:r>
      <w:r w:rsidRPr="00EC5079">
        <w:rPr>
          <w:rFonts w:ascii="Times New Roman" w:hAnsi="Times New Roman" w:cs="Times New Roman"/>
          <w:sz w:val="24"/>
          <w:szCs w:val="24"/>
        </w:rPr>
        <w:t>1</w:t>
      </w:r>
      <w:r w:rsidR="008A1F98" w:rsidRPr="00EC5079">
        <w:rPr>
          <w:rFonts w:ascii="Times New Roman" w:hAnsi="Times New Roman" w:cs="Times New Roman"/>
          <w:sz w:val="24"/>
          <w:szCs w:val="24"/>
        </w:rPr>
        <w:t>6</w:t>
      </w:r>
      <w:r w:rsidRPr="00EC5079">
        <w:rPr>
          <w:rFonts w:ascii="Times New Roman" w:hAnsi="Times New Roman" w:cs="Times New Roman"/>
          <w:sz w:val="24"/>
          <w:szCs w:val="24"/>
        </w:rPr>
        <w:t xml:space="preserve"> de junio de 2008</w:t>
      </w:r>
      <w:r w:rsidR="002378D7" w:rsidRPr="00EC5079">
        <w:rPr>
          <w:rFonts w:ascii="Times New Roman" w:hAnsi="Times New Roman" w:cs="Times New Roman"/>
          <w:sz w:val="24"/>
          <w:szCs w:val="24"/>
        </w:rPr>
        <w:t>”</w:t>
      </w:r>
      <w:r w:rsidR="008A1F98" w:rsidRPr="00EC5079">
        <w:rPr>
          <w:rFonts w:ascii="Times New Roman" w:hAnsi="Times New Roman" w:cs="Times New Roman"/>
          <w:sz w:val="24"/>
          <w:szCs w:val="24"/>
        </w:rPr>
        <w:t xml:space="preserve"> (</w:t>
      </w:r>
      <w:r w:rsidR="008A1F98" w:rsidRPr="00EC5079">
        <w:rPr>
          <w:rFonts w:ascii="Times New Roman" w:hAnsi="Times New Roman" w:cs="Times New Roman"/>
          <w:i/>
          <w:sz w:val="24"/>
          <w:szCs w:val="24"/>
        </w:rPr>
        <w:t>el contrato realmente es de día 19 de junio de 2008</w:t>
      </w:r>
      <w:r w:rsidR="002378D7" w:rsidRPr="00EC5079">
        <w:rPr>
          <w:rFonts w:ascii="Times New Roman" w:hAnsi="Times New Roman" w:cs="Times New Roman"/>
          <w:sz w:val="24"/>
          <w:szCs w:val="24"/>
        </w:rPr>
        <w:t>)</w:t>
      </w:r>
      <w:r w:rsidRPr="00EC5079">
        <w:rPr>
          <w:rFonts w:ascii="Times New Roman" w:hAnsi="Times New Roman" w:cs="Times New Roman"/>
          <w:sz w:val="24"/>
          <w:szCs w:val="24"/>
        </w:rPr>
        <w:t>, por encontrarse la entidad en periodo de “</w:t>
      </w:r>
      <w:r w:rsidRPr="00EC5079">
        <w:rPr>
          <w:rFonts w:ascii="Times New Roman" w:hAnsi="Times New Roman" w:cs="Times New Roman"/>
          <w:i/>
          <w:sz w:val="24"/>
          <w:szCs w:val="24"/>
        </w:rPr>
        <w:t>moratoria</w:t>
      </w:r>
      <w:r w:rsidRPr="00EC5079">
        <w:rPr>
          <w:rFonts w:ascii="Times New Roman" w:hAnsi="Times New Roman" w:cs="Times New Roman"/>
          <w:sz w:val="24"/>
          <w:szCs w:val="24"/>
        </w:rPr>
        <w:t>” conforme a la Disposición Transitoria Primera de la Ley 47/2007 de 19 de diciembre de modificación de la Ley de Mercado de Valores</w:t>
      </w:r>
      <w:r w:rsidR="00456299" w:rsidRPr="00EC5079">
        <w:rPr>
          <w:rFonts w:ascii="Times New Roman" w:hAnsi="Times New Roman" w:cs="Times New Roman"/>
          <w:sz w:val="24"/>
          <w:szCs w:val="24"/>
        </w:rPr>
        <w:t xml:space="preserve"> (LMV)</w:t>
      </w:r>
      <w:r w:rsidRPr="00EC5079">
        <w:rPr>
          <w:rFonts w:ascii="Times New Roman" w:hAnsi="Times New Roman" w:cs="Times New Roman"/>
          <w:sz w:val="24"/>
          <w:szCs w:val="24"/>
        </w:rPr>
        <w:t xml:space="preserve">. </w:t>
      </w:r>
    </w:p>
    <w:p w:rsidR="00DF1872" w:rsidRPr="00EC5079" w:rsidRDefault="00807A38" w:rsidP="00E72B55">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lastRenderedPageBreak/>
        <w:t>Entendemos que lo anterior se opone a lo dispuesto en los arts. 2.1 Código Civil (C.C)</w:t>
      </w:r>
      <w:r w:rsidR="00DF1872" w:rsidRPr="00EC5079">
        <w:rPr>
          <w:rFonts w:ascii="Times New Roman" w:hAnsi="Times New Roman" w:cs="Times New Roman"/>
          <w:sz w:val="24"/>
          <w:szCs w:val="24"/>
        </w:rPr>
        <w:t xml:space="preserve">, </w:t>
      </w:r>
      <w:r w:rsidRPr="00EC5079">
        <w:rPr>
          <w:rFonts w:ascii="Times New Roman" w:hAnsi="Times New Roman" w:cs="Times New Roman"/>
          <w:sz w:val="24"/>
          <w:szCs w:val="24"/>
        </w:rPr>
        <w:t xml:space="preserve"> </w:t>
      </w:r>
      <w:r w:rsidR="00DF1872" w:rsidRPr="00EC5079">
        <w:rPr>
          <w:rFonts w:ascii="Times New Roman" w:hAnsi="Times New Roman" w:cs="Times New Roman"/>
          <w:sz w:val="24"/>
          <w:szCs w:val="24"/>
        </w:rPr>
        <w:t xml:space="preserve">Disposición </w:t>
      </w:r>
      <w:r w:rsidRPr="00EC5079">
        <w:rPr>
          <w:rFonts w:ascii="Times New Roman" w:hAnsi="Times New Roman" w:cs="Times New Roman"/>
          <w:sz w:val="24"/>
          <w:szCs w:val="24"/>
        </w:rPr>
        <w:t xml:space="preserve">Final 6ª de la Ley 47/2007 de 19 de diciembre de reforma de la LMV para adaptarla a la Directiva Mifid y </w:t>
      </w:r>
      <w:r w:rsidR="00DF1872" w:rsidRPr="00EC5079">
        <w:rPr>
          <w:rFonts w:ascii="Times New Roman" w:hAnsi="Times New Roman" w:cs="Times New Roman"/>
          <w:sz w:val="24"/>
          <w:szCs w:val="24"/>
        </w:rPr>
        <w:t>Disposición</w:t>
      </w:r>
      <w:r w:rsidRPr="00EC5079">
        <w:rPr>
          <w:rFonts w:ascii="Times New Roman" w:hAnsi="Times New Roman" w:cs="Times New Roman"/>
          <w:sz w:val="24"/>
          <w:szCs w:val="24"/>
        </w:rPr>
        <w:t xml:space="preserve"> Final 4ª del RD 217/2008 de </w:t>
      </w:r>
      <w:r w:rsidR="00DF1872" w:rsidRPr="00EC5079">
        <w:rPr>
          <w:rFonts w:ascii="Times New Roman" w:hAnsi="Times New Roman" w:cs="Times New Roman"/>
          <w:sz w:val="24"/>
          <w:szCs w:val="24"/>
        </w:rPr>
        <w:t>15 de febrero.</w:t>
      </w:r>
    </w:p>
    <w:p w:rsidR="00CD7A42" w:rsidRPr="00EC5079" w:rsidRDefault="00807A38" w:rsidP="00E72B55">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Conforme a las </w:t>
      </w:r>
      <w:r w:rsidR="00CD7A42" w:rsidRPr="00EC5079">
        <w:rPr>
          <w:rFonts w:ascii="Times New Roman" w:hAnsi="Times New Roman" w:cs="Times New Roman"/>
          <w:sz w:val="24"/>
          <w:szCs w:val="24"/>
        </w:rPr>
        <w:t>disposiciones</w:t>
      </w:r>
      <w:r w:rsidRPr="00EC5079">
        <w:rPr>
          <w:rFonts w:ascii="Times New Roman" w:hAnsi="Times New Roman" w:cs="Times New Roman"/>
          <w:sz w:val="24"/>
          <w:szCs w:val="24"/>
        </w:rPr>
        <w:t xml:space="preserve"> anteriores, </w:t>
      </w:r>
      <w:r w:rsidR="00F145BC" w:rsidRPr="00EC5079">
        <w:rPr>
          <w:rFonts w:ascii="Times New Roman" w:hAnsi="Times New Roman" w:cs="Times New Roman"/>
          <w:sz w:val="24"/>
          <w:szCs w:val="24"/>
        </w:rPr>
        <w:t xml:space="preserve">la reforma de la </w:t>
      </w:r>
      <w:r w:rsidRPr="00EC5079">
        <w:rPr>
          <w:rFonts w:ascii="Times New Roman" w:hAnsi="Times New Roman" w:cs="Times New Roman"/>
          <w:sz w:val="24"/>
          <w:szCs w:val="24"/>
        </w:rPr>
        <w:t>LMV</w:t>
      </w:r>
      <w:r w:rsidR="00CD7A42" w:rsidRPr="00EC5079">
        <w:rPr>
          <w:rFonts w:ascii="Times New Roman" w:hAnsi="Times New Roman" w:cs="Times New Roman"/>
          <w:sz w:val="24"/>
          <w:szCs w:val="24"/>
        </w:rPr>
        <w:t xml:space="preserve"> operada por la ley 47/2007 de 19 de diciembre</w:t>
      </w:r>
      <w:r w:rsidRPr="00EC5079">
        <w:rPr>
          <w:rFonts w:ascii="Times New Roman" w:hAnsi="Times New Roman" w:cs="Times New Roman"/>
          <w:sz w:val="24"/>
          <w:szCs w:val="24"/>
        </w:rPr>
        <w:t xml:space="preserve"> y </w:t>
      </w:r>
      <w:r w:rsidR="008A1F98" w:rsidRPr="00EC5079">
        <w:rPr>
          <w:rFonts w:ascii="Times New Roman" w:hAnsi="Times New Roman" w:cs="Times New Roman"/>
          <w:sz w:val="24"/>
          <w:szCs w:val="24"/>
        </w:rPr>
        <w:t xml:space="preserve">el </w:t>
      </w:r>
      <w:r w:rsidRPr="00EC5079">
        <w:rPr>
          <w:rFonts w:ascii="Times New Roman" w:hAnsi="Times New Roman" w:cs="Times New Roman"/>
          <w:sz w:val="24"/>
          <w:szCs w:val="24"/>
        </w:rPr>
        <w:t>RD 217/2008 de 15 de febrero,  entraron en vigor respectivamente los días 21 de diciembre de 2007 y 17 de febrero de 2008, esto es al día siguiente de su respectiva publicación en el BOE, como las mismas preveían.</w:t>
      </w:r>
    </w:p>
    <w:p w:rsidR="002378D7" w:rsidRPr="00EC5079" w:rsidRDefault="00CD7A42" w:rsidP="00E72B55">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Por ello </w:t>
      </w:r>
      <w:r w:rsidR="00807A38" w:rsidRPr="00EC5079">
        <w:rPr>
          <w:rFonts w:ascii="Times New Roman" w:hAnsi="Times New Roman" w:cs="Times New Roman"/>
          <w:sz w:val="24"/>
          <w:szCs w:val="24"/>
        </w:rPr>
        <w:t>el 1</w:t>
      </w:r>
      <w:r w:rsidR="009D5134" w:rsidRPr="00EC5079">
        <w:rPr>
          <w:rFonts w:ascii="Times New Roman" w:hAnsi="Times New Roman" w:cs="Times New Roman"/>
          <w:sz w:val="24"/>
          <w:szCs w:val="24"/>
        </w:rPr>
        <w:t>9</w:t>
      </w:r>
      <w:r w:rsidR="00807A38" w:rsidRPr="00EC5079">
        <w:rPr>
          <w:rFonts w:ascii="Times New Roman" w:hAnsi="Times New Roman" w:cs="Times New Roman"/>
          <w:sz w:val="24"/>
          <w:szCs w:val="24"/>
        </w:rPr>
        <w:t xml:space="preserve"> de junio de 2008, ya estaba en vigor la obligatoriedad para Banco Santander de la realización</w:t>
      </w:r>
      <w:r w:rsidR="002378D7" w:rsidRPr="00EC5079">
        <w:rPr>
          <w:rFonts w:ascii="Times New Roman" w:hAnsi="Times New Roman" w:cs="Times New Roman"/>
          <w:sz w:val="24"/>
          <w:szCs w:val="24"/>
        </w:rPr>
        <w:t>, no del mero test de conveniencia, como mantiene la sentencia de apelación, sino</w:t>
      </w:r>
      <w:r w:rsidR="00807A38" w:rsidRPr="00EC5079">
        <w:rPr>
          <w:rFonts w:ascii="Times New Roman" w:hAnsi="Times New Roman" w:cs="Times New Roman"/>
          <w:sz w:val="24"/>
          <w:szCs w:val="24"/>
        </w:rPr>
        <w:t xml:space="preserve"> </w:t>
      </w:r>
      <w:r w:rsidR="00DB1530" w:rsidRPr="00EC5079">
        <w:rPr>
          <w:rFonts w:ascii="Times New Roman" w:hAnsi="Times New Roman" w:cs="Times New Roman"/>
          <w:sz w:val="24"/>
          <w:szCs w:val="24"/>
        </w:rPr>
        <w:t>d</w:t>
      </w:r>
      <w:r w:rsidR="00456299" w:rsidRPr="00EC5079">
        <w:rPr>
          <w:rFonts w:ascii="Times New Roman" w:hAnsi="Times New Roman" w:cs="Times New Roman"/>
          <w:sz w:val="24"/>
          <w:szCs w:val="24"/>
        </w:rPr>
        <w:t>el test de idoneidad</w:t>
      </w:r>
      <w:r w:rsidR="00DB1530" w:rsidRPr="00EC5079">
        <w:rPr>
          <w:rFonts w:ascii="Times New Roman" w:hAnsi="Times New Roman" w:cs="Times New Roman"/>
          <w:sz w:val="24"/>
          <w:szCs w:val="24"/>
        </w:rPr>
        <w:t>, exigible</w:t>
      </w:r>
      <w:r w:rsidR="00456299" w:rsidRPr="00EC5079">
        <w:rPr>
          <w:rFonts w:ascii="Times New Roman" w:hAnsi="Times New Roman" w:cs="Times New Roman"/>
          <w:sz w:val="24"/>
          <w:szCs w:val="24"/>
        </w:rPr>
        <w:t xml:space="preserve"> en el caso que nos ocupa</w:t>
      </w:r>
      <w:r w:rsidR="002378D7" w:rsidRPr="00EC5079">
        <w:rPr>
          <w:rFonts w:ascii="Times New Roman" w:hAnsi="Times New Roman" w:cs="Times New Roman"/>
          <w:sz w:val="24"/>
          <w:szCs w:val="24"/>
        </w:rPr>
        <w:t xml:space="preserve"> por haber prestado la entidad un servicio de asesoramiento en materia de inversiones. </w:t>
      </w:r>
    </w:p>
    <w:p w:rsidR="002378D7" w:rsidRPr="00EC5079" w:rsidRDefault="00456299" w:rsidP="00E72B55">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E</w:t>
      </w:r>
      <w:r w:rsidR="00DF1872" w:rsidRPr="00EC5079">
        <w:rPr>
          <w:rFonts w:ascii="Times New Roman" w:hAnsi="Times New Roman" w:cs="Times New Roman"/>
          <w:sz w:val="24"/>
          <w:szCs w:val="24"/>
        </w:rPr>
        <w:t>n consecuencia</w:t>
      </w:r>
      <w:r w:rsidRPr="00EC5079">
        <w:rPr>
          <w:rFonts w:ascii="Times New Roman" w:hAnsi="Times New Roman" w:cs="Times New Roman"/>
          <w:sz w:val="24"/>
          <w:szCs w:val="24"/>
        </w:rPr>
        <w:t>,</w:t>
      </w:r>
      <w:r w:rsidR="002378D7" w:rsidRPr="00EC5079">
        <w:rPr>
          <w:rFonts w:ascii="Times New Roman" w:hAnsi="Times New Roman" w:cs="Times New Roman"/>
          <w:sz w:val="24"/>
          <w:szCs w:val="24"/>
        </w:rPr>
        <w:t xml:space="preserve"> existe interés casacional por no aplicar las disposiciones legales vigentes en el momento de la contratación para resolver la ratio decidendi del asunto. </w:t>
      </w:r>
    </w:p>
    <w:p w:rsidR="00807A38" w:rsidRPr="00EC5079" w:rsidRDefault="00807A38" w:rsidP="00DF1872">
      <w:pPr>
        <w:pStyle w:val="Prrafodelista"/>
        <w:numPr>
          <w:ilvl w:val="0"/>
          <w:numId w:val="34"/>
        </w:numPr>
        <w:tabs>
          <w:tab w:val="left" w:pos="142"/>
          <w:tab w:val="left" w:pos="567"/>
          <w:tab w:val="left" w:pos="709"/>
          <w:tab w:val="left" w:pos="851"/>
          <w:tab w:val="left" w:pos="1134"/>
          <w:tab w:val="left" w:pos="1418"/>
        </w:tabs>
        <w:spacing w:before="100" w:beforeAutospacing="1" w:after="100" w:afterAutospacing="1" w:line="360" w:lineRule="auto"/>
        <w:jc w:val="both"/>
        <w:rPr>
          <w:b/>
        </w:rPr>
      </w:pPr>
      <w:r w:rsidRPr="00EC5079">
        <w:rPr>
          <w:b/>
        </w:rPr>
        <w:t xml:space="preserve">DESARROLLO </w:t>
      </w:r>
      <w:r w:rsidR="00DF1872" w:rsidRPr="00EC5079">
        <w:rPr>
          <w:b/>
        </w:rPr>
        <w:t xml:space="preserve">DEL MOTIVO. </w:t>
      </w:r>
    </w:p>
    <w:p w:rsidR="007B5CA9" w:rsidRPr="00EC5079" w:rsidRDefault="007B5CA9"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El interés casacional del presente motivo se centra en la contraposición entre la sentencia que recurrimos, que mantiene que la obligación de realizar del test de conveniencia no estaba vigente</w:t>
      </w:r>
      <w:r w:rsidR="000240AD" w:rsidRPr="00EC5079">
        <w:rPr>
          <w:rFonts w:ascii="Times New Roman" w:hAnsi="Times New Roman" w:cs="Times New Roman"/>
          <w:sz w:val="24"/>
          <w:szCs w:val="24"/>
        </w:rPr>
        <w:t xml:space="preserve"> en el momento de la firma del contrato</w:t>
      </w:r>
      <w:r w:rsidR="00CA096C" w:rsidRPr="00EC5079">
        <w:rPr>
          <w:rFonts w:ascii="Times New Roman" w:hAnsi="Times New Roman" w:cs="Times New Roman"/>
          <w:sz w:val="24"/>
          <w:szCs w:val="24"/>
        </w:rPr>
        <w:t xml:space="preserve">, </w:t>
      </w:r>
      <w:r w:rsidRPr="00EC5079">
        <w:rPr>
          <w:rFonts w:ascii="Times New Roman" w:hAnsi="Times New Roman" w:cs="Times New Roman"/>
          <w:sz w:val="24"/>
          <w:szCs w:val="24"/>
        </w:rPr>
        <w:t xml:space="preserve"> por lo que no valora las consecuencias de su no realización y lo dispu</w:t>
      </w:r>
      <w:r w:rsidR="00456299" w:rsidRPr="00EC5079">
        <w:rPr>
          <w:rFonts w:ascii="Times New Roman" w:hAnsi="Times New Roman" w:cs="Times New Roman"/>
          <w:sz w:val="24"/>
          <w:szCs w:val="24"/>
        </w:rPr>
        <w:t>esto en la</w:t>
      </w:r>
      <w:r w:rsidRPr="00EC5079">
        <w:rPr>
          <w:rFonts w:ascii="Times New Roman" w:hAnsi="Times New Roman" w:cs="Times New Roman"/>
          <w:sz w:val="24"/>
          <w:szCs w:val="24"/>
        </w:rPr>
        <w:t xml:space="preserve"> </w:t>
      </w:r>
      <w:r w:rsidR="00456299" w:rsidRPr="00EC5079">
        <w:rPr>
          <w:rFonts w:ascii="Times New Roman" w:hAnsi="Times New Roman" w:cs="Times New Roman"/>
          <w:sz w:val="24"/>
          <w:szCs w:val="24"/>
        </w:rPr>
        <w:t xml:space="preserve">Disposición Final 6ª de la Ley 47/2007 de 19 de diciembre de reforma de la LMV para adaptarla a la Directiva Mifid y Disposición Final 4ª del RD 217/2008 de 15 de febrero así como la jurisprudencia que las ha aplicado, </w:t>
      </w:r>
      <w:r w:rsidRPr="00EC5079">
        <w:rPr>
          <w:rFonts w:ascii="Times New Roman" w:hAnsi="Times New Roman" w:cs="Times New Roman"/>
          <w:sz w:val="24"/>
          <w:szCs w:val="24"/>
        </w:rPr>
        <w:t xml:space="preserve">que claramente determina que las mismas ya estaban vigentes en el momento de la suscripción del contrato </w:t>
      </w:r>
      <w:r w:rsidR="00CD7A42" w:rsidRPr="00EC5079">
        <w:rPr>
          <w:rFonts w:ascii="Times New Roman" w:hAnsi="Times New Roman" w:cs="Times New Roman"/>
          <w:sz w:val="24"/>
          <w:szCs w:val="24"/>
        </w:rPr>
        <w:t xml:space="preserve">que nos ocupa, sin que exista ningún tipo de moratoria a su entrada en vigor. </w:t>
      </w:r>
    </w:p>
    <w:p w:rsidR="00DF1872" w:rsidRPr="00EC5079" w:rsidRDefault="007B5CA9"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Así en e</w:t>
      </w:r>
      <w:r w:rsidR="00DF1872" w:rsidRPr="00EC5079">
        <w:rPr>
          <w:rFonts w:ascii="Times New Roman" w:hAnsi="Times New Roman" w:cs="Times New Roman"/>
          <w:sz w:val="24"/>
          <w:szCs w:val="24"/>
        </w:rPr>
        <w:t>l Fundamento de Derecho Cuarto de la sentencia que recurrimos dispon</w:t>
      </w:r>
      <w:r w:rsidR="002378D7" w:rsidRPr="00EC5079">
        <w:rPr>
          <w:rFonts w:ascii="Times New Roman" w:hAnsi="Times New Roman" w:cs="Times New Roman"/>
          <w:sz w:val="24"/>
          <w:szCs w:val="24"/>
        </w:rPr>
        <w:t xml:space="preserve">e que el art. 79 bis de la LMV </w:t>
      </w:r>
      <w:r w:rsidR="00DF1872" w:rsidRPr="00EC5079">
        <w:rPr>
          <w:rFonts w:ascii="Times New Roman" w:hAnsi="Times New Roman" w:cs="Times New Roman"/>
          <w:sz w:val="24"/>
          <w:szCs w:val="24"/>
        </w:rPr>
        <w:t>que obligaba a las entidades bancarias a someter a sus clientes, incluidos los potenciales,  a un test de conveniencia antes de la contr</w:t>
      </w:r>
      <w:r w:rsidR="002378D7" w:rsidRPr="00EC5079">
        <w:rPr>
          <w:rFonts w:ascii="Times New Roman" w:hAnsi="Times New Roman" w:cs="Times New Roman"/>
          <w:sz w:val="24"/>
          <w:szCs w:val="24"/>
        </w:rPr>
        <w:t>atación de un producto complejo</w:t>
      </w:r>
      <w:r w:rsidR="00DF1872" w:rsidRPr="00EC5079">
        <w:rPr>
          <w:rFonts w:ascii="Times New Roman" w:hAnsi="Times New Roman" w:cs="Times New Roman"/>
          <w:sz w:val="24"/>
          <w:szCs w:val="24"/>
        </w:rPr>
        <w:t xml:space="preserve"> no estaba en vigor en el momento de la perfección del contrat</w:t>
      </w:r>
      <w:r w:rsidR="00CD7A42" w:rsidRPr="00EC5079">
        <w:rPr>
          <w:rFonts w:ascii="Times New Roman" w:hAnsi="Times New Roman" w:cs="Times New Roman"/>
          <w:sz w:val="24"/>
          <w:szCs w:val="24"/>
        </w:rPr>
        <w:t>o objeto de litis, esto es “el 16</w:t>
      </w:r>
      <w:r w:rsidR="00DF1872" w:rsidRPr="00EC5079">
        <w:rPr>
          <w:rFonts w:ascii="Times New Roman" w:hAnsi="Times New Roman" w:cs="Times New Roman"/>
          <w:sz w:val="24"/>
          <w:szCs w:val="24"/>
        </w:rPr>
        <w:t xml:space="preserve"> de junio de 2008</w:t>
      </w:r>
      <w:r w:rsidR="00CD7A42" w:rsidRPr="00EC5079">
        <w:rPr>
          <w:rFonts w:ascii="Times New Roman" w:hAnsi="Times New Roman" w:cs="Times New Roman"/>
          <w:sz w:val="24"/>
          <w:szCs w:val="24"/>
        </w:rPr>
        <w:t>” (el contrato es de 19 de junio de 2008, aunque la sentencia habla de día 16 de junio)</w:t>
      </w:r>
      <w:r w:rsidR="00DF1872" w:rsidRPr="00EC5079">
        <w:rPr>
          <w:rFonts w:ascii="Times New Roman" w:hAnsi="Times New Roman" w:cs="Times New Roman"/>
          <w:sz w:val="24"/>
          <w:szCs w:val="24"/>
        </w:rPr>
        <w:t xml:space="preserve">. </w:t>
      </w:r>
      <w:r w:rsidR="000240AD" w:rsidRPr="00EC5079">
        <w:rPr>
          <w:rFonts w:ascii="Times New Roman" w:hAnsi="Times New Roman" w:cs="Times New Roman"/>
          <w:sz w:val="24"/>
          <w:szCs w:val="24"/>
        </w:rPr>
        <w:t xml:space="preserve">Continua diciendo </w:t>
      </w:r>
      <w:r w:rsidR="00DF1872" w:rsidRPr="00EC5079">
        <w:rPr>
          <w:rFonts w:ascii="Times New Roman" w:hAnsi="Times New Roman" w:cs="Times New Roman"/>
          <w:sz w:val="24"/>
          <w:szCs w:val="24"/>
        </w:rPr>
        <w:t>que no puede olvidarse que la Disposición Transitoria Primera</w:t>
      </w:r>
      <w:r w:rsidR="000240AD" w:rsidRPr="00EC5079">
        <w:rPr>
          <w:rFonts w:ascii="Times New Roman" w:hAnsi="Times New Roman" w:cs="Times New Roman"/>
          <w:sz w:val="24"/>
          <w:szCs w:val="24"/>
        </w:rPr>
        <w:t xml:space="preserve"> de la ley 47/2007</w:t>
      </w:r>
      <w:r w:rsidR="00DF1872" w:rsidRPr="00EC5079">
        <w:rPr>
          <w:rFonts w:ascii="Times New Roman" w:hAnsi="Times New Roman" w:cs="Times New Roman"/>
          <w:sz w:val="24"/>
          <w:szCs w:val="24"/>
        </w:rPr>
        <w:t xml:space="preserve"> estableció una moratoria para las </w:t>
      </w:r>
      <w:r w:rsidR="00DF1872" w:rsidRPr="00EC5079">
        <w:rPr>
          <w:rFonts w:ascii="Times New Roman" w:hAnsi="Times New Roman" w:cs="Times New Roman"/>
          <w:sz w:val="24"/>
          <w:szCs w:val="24"/>
        </w:rPr>
        <w:lastRenderedPageBreak/>
        <w:t>entidades que prestaran servicios de inversión en el sentido de que dispondrían de un plazo de seis meses para</w:t>
      </w:r>
      <w:r w:rsidR="004C3F7A" w:rsidRPr="00EC5079">
        <w:rPr>
          <w:rFonts w:ascii="Times New Roman" w:hAnsi="Times New Roman" w:cs="Times New Roman"/>
          <w:sz w:val="24"/>
          <w:szCs w:val="24"/>
        </w:rPr>
        <w:t xml:space="preserve"> adaptarse a sus disposiciones </w:t>
      </w:r>
      <w:r w:rsidR="00DF1872" w:rsidRPr="00EC5079">
        <w:rPr>
          <w:rFonts w:ascii="Times New Roman" w:hAnsi="Times New Roman" w:cs="Times New Roman"/>
          <w:sz w:val="24"/>
          <w:szCs w:val="24"/>
        </w:rPr>
        <w:t>siendo que</w:t>
      </w:r>
      <w:r w:rsidR="004C3F7A" w:rsidRPr="00EC5079">
        <w:rPr>
          <w:rFonts w:ascii="Times New Roman" w:hAnsi="Times New Roman" w:cs="Times New Roman"/>
          <w:sz w:val="24"/>
          <w:szCs w:val="24"/>
        </w:rPr>
        <w:t xml:space="preserve">, </w:t>
      </w:r>
      <w:r w:rsidR="00DF1872" w:rsidRPr="00EC5079">
        <w:rPr>
          <w:rFonts w:ascii="Times New Roman" w:hAnsi="Times New Roman" w:cs="Times New Roman"/>
          <w:sz w:val="24"/>
          <w:szCs w:val="24"/>
        </w:rPr>
        <w:t xml:space="preserve"> para que pueda apreciarse el error</w:t>
      </w:r>
      <w:r w:rsidR="004C3F7A" w:rsidRPr="00EC5079">
        <w:rPr>
          <w:rFonts w:ascii="Times New Roman" w:hAnsi="Times New Roman" w:cs="Times New Roman"/>
          <w:sz w:val="24"/>
          <w:szCs w:val="24"/>
        </w:rPr>
        <w:t xml:space="preserve">, </w:t>
      </w:r>
      <w:r w:rsidR="00DF1872" w:rsidRPr="00EC5079">
        <w:rPr>
          <w:rFonts w:ascii="Times New Roman" w:hAnsi="Times New Roman" w:cs="Times New Roman"/>
          <w:sz w:val="24"/>
          <w:szCs w:val="24"/>
        </w:rPr>
        <w:t xml:space="preserve"> este debe darse en el momento de la perfección del contrato</w:t>
      </w:r>
      <w:r w:rsidR="00456299" w:rsidRPr="00EC5079">
        <w:rPr>
          <w:rFonts w:ascii="Times New Roman" w:hAnsi="Times New Roman" w:cs="Times New Roman"/>
          <w:sz w:val="24"/>
          <w:szCs w:val="24"/>
        </w:rPr>
        <w:t xml:space="preserve"> y </w:t>
      </w:r>
      <w:r w:rsidR="00DF1872" w:rsidRPr="00EC5079">
        <w:rPr>
          <w:rFonts w:ascii="Times New Roman" w:hAnsi="Times New Roman" w:cs="Times New Roman"/>
          <w:sz w:val="24"/>
          <w:szCs w:val="24"/>
        </w:rPr>
        <w:t xml:space="preserve">  </w:t>
      </w:r>
      <w:r w:rsidR="00DF1872" w:rsidRPr="00EC5079">
        <w:rPr>
          <w:rFonts w:ascii="Times New Roman" w:hAnsi="Times New Roman" w:cs="Times New Roman"/>
          <w:i/>
          <w:sz w:val="24"/>
          <w:szCs w:val="24"/>
        </w:rPr>
        <w:t>“…entonces no era obligatorio el mencionado test….”</w:t>
      </w:r>
    </w:p>
    <w:p w:rsidR="00DF1872" w:rsidRPr="00EC5079" w:rsidRDefault="00DF1872"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Lo anterior se opone frontalmente a lo dispuesto en los arts. 79 bis LMV y </w:t>
      </w:r>
      <w:r w:rsidR="00394887" w:rsidRPr="00EC5079">
        <w:rPr>
          <w:rFonts w:ascii="Times New Roman" w:hAnsi="Times New Roman" w:cs="Times New Roman"/>
          <w:sz w:val="24"/>
          <w:szCs w:val="24"/>
        </w:rPr>
        <w:t>72</w:t>
      </w:r>
      <w:r w:rsidRPr="00EC5079">
        <w:rPr>
          <w:rFonts w:ascii="Times New Roman" w:hAnsi="Times New Roman" w:cs="Times New Roman"/>
          <w:sz w:val="24"/>
          <w:szCs w:val="24"/>
        </w:rPr>
        <w:t xml:space="preserve"> RD 217/2008, por cuanto estas normas desde su respectiva entrada en vigor, el 21 de diciembre de 2007 y el 17 de febrero de 2008, obligan a las</w:t>
      </w:r>
      <w:r w:rsidR="000240AD" w:rsidRPr="00EC5079">
        <w:rPr>
          <w:rFonts w:ascii="Times New Roman" w:hAnsi="Times New Roman" w:cs="Times New Roman"/>
          <w:sz w:val="24"/>
          <w:szCs w:val="24"/>
        </w:rPr>
        <w:t xml:space="preserve"> entidades bancarias que prestasen</w:t>
      </w:r>
      <w:r w:rsidRPr="00EC5079">
        <w:rPr>
          <w:rFonts w:ascii="Times New Roman" w:hAnsi="Times New Roman" w:cs="Times New Roman"/>
          <w:sz w:val="24"/>
          <w:szCs w:val="24"/>
        </w:rPr>
        <w:t xml:space="preserve"> servicios de inversión a realizar los consabidos te</w:t>
      </w:r>
      <w:r w:rsidR="00394887" w:rsidRPr="00EC5079">
        <w:rPr>
          <w:rFonts w:ascii="Times New Roman" w:hAnsi="Times New Roman" w:cs="Times New Roman"/>
          <w:sz w:val="24"/>
          <w:szCs w:val="24"/>
        </w:rPr>
        <w:t xml:space="preserve">st de idoneidad y conveniencia, dependiendo de si la relación que </w:t>
      </w:r>
      <w:r w:rsidR="000240AD" w:rsidRPr="00EC5079">
        <w:rPr>
          <w:rFonts w:ascii="Times New Roman" w:hAnsi="Times New Roman" w:cs="Times New Roman"/>
          <w:sz w:val="24"/>
          <w:szCs w:val="24"/>
        </w:rPr>
        <w:t>unía</w:t>
      </w:r>
      <w:r w:rsidR="00394887" w:rsidRPr="00EC5079">
        <w:rPr>
          <w:rFonts w:ascii="Times New Roman" w:hAnsi="Times New Roman" w:cs="Times New Roman"/>
          <w:sz w:val="24"/>
          <w:szCs w:val="24"/>
        </w:rPr>
        <w:t xml:space="preserve"> al banco con sus clientes es la de asesoramiento en materia de inversiones (</w:t>
      </w:r>
      <w:r w:rsidR="00394887" w:rsidRPr="00EC5079">
        <w:rPr>
          <w:rFonts w:ascii="Times New Roman" w:hAnsi="Times New Roman" w:cs="Times New Roman"/>
          <w:i/>
          <w:sz w:val="24"/>
          <w:szCs w:val="24"/>
        </w:rPr>
        <w:t>test de idoneidad</w:t>
      </w:r>
      <w:r w:rsidR="00394887" w:rsidRPr="00EC5079">
        <w:rPr>
          <w:rFonts w:ascii="Times New Roman" w:hAnsi="Times New Roman" w:cs="Times New Roman"/>
          <w:sz w:val="24"/>
          <w:szCs w:val="24"/>
        </w:rPr>
        <w:t>), o una relación distinta (</w:t>
      </w:r>
      <w:r w:rsidR="00394887" w:rsidRPr="00EC5079">
        <w:rPr>
          <w:rFonts w:ascii="Times New Roman" w:hAnsi="Times New Roman" w:cs="Times New Roman"/>
          <w:i/>
          <w:sz w:val="24"/>
          <w:szCs w:val="24"/>
        </w:rPr>
        <w:t>solo test de conveniencia</w:t>
      </w:r>
      <w:r w:rsidR="00EB6B42" w:rsidRPr="00EC5079">
        <w:rPr>
          <w:rFonts w:ascii="Times New Roman" w:hAnsi="Times New Roman" w:cs="Times New Roman"/>
          <w:sz w:val="24"/>
          <w:szCs w:val="24"/>
        </w:rPr>
        <w:t xml:space="preserve">). </w:t>
      </w:r>
    </w:p>
    <w:p w:rsidR="00DF1872" w:rsidRPr="00EC5079" w:rsidRDefault="00CD7A42"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Y sobre este extremo ya existe jurisprudencia, en concreto las</w:t>
      </w:r>
      <w:r w:rsidR="00DF1872" w:rsidRPr="00EC5079">
        <w:rPr>
          <w:rFonts w:ascii="Times New Roman" w:hAnsi="Times New Roman" w:cs="Times New Roman"/>
          <w:sz w:val="24"/>
          <w:szCs w:val="24"/>
        </w:rPr>
        <w:t xml:space="preserve"> Sentencias del </w:t>
      </w:r>
      <w:r w:rsidR="00DF1872" w:rsidRPr="00EC5079">
        <w:rPr>
          <w:rFonts w:ascii="Times New Roman" w:hAnsi="Times New Roman" w:cs="Times New Roman"/>
          <w:b/>
          <w:sz w:val="24"/>
          <w:szCs w:val="24"/>
        </w:rPr>
        <w:t>TS 110/2015 de 26 de febrero</w:t>
      </w:r>
      <w:r w:rsidR="00DF1872" w:rsidRPr="00EC5079">
        <w:rPr>
          <w:rFonts w:ascii="Times New Roman" w:hAnsi="Times New Roman" w:cs="Times New Roman"/>
          <w:sz w:val="24"/>
          <w:szCs w:val="24"/>
        </w:rPr>
        <w:t xml:space="preserve"> y </w:t>
      </w:r>
      <w:r w:rsidR="005F6C67" w:rsidRPr="00EC5079">
        <w:rPr>
          <w:rFonts w:ascii="Times New Roman" w:hAnsi="Times New Roman" w:cs="Times New Roman"/>
          <w:b/>
          <w:sz w:val="24"/>
          <w:szCs w:val="24"/>
        </w:rPr>
        <w:t>385</w:t>
      </w:r>
      <w:r w:rsidR="00DF1872" w:rsidRPr="00EC5079">
        <w:rPr>
          <w:rFonts w:ascii="Times New Roman" w:hAnsi="Times New Roman" w:cs="Times New Roman"/>
          <w:b/>
          <w:sz w:val="24"/>
          <w:szCs w:val="24"/>
        </w:rPr>
        <w:t>/2014 de 7 de julio</w:t>
      </w:r>
      <w:r w:rsidR="00DF1872" w:rsidRPr="00EC5079">
        <w:rPr>
          <w:rFonts w:ascii="Times New Roman" w:hAnsi="Times New Roman" w:cs="Times New Roman"/>
          <w:sz w:val="24"/>
          <w:szCs w:val="24"/>
        </w:rPr>
        <w:t>, que establecen:</w:t>
      </w:r>
    </w:p>
    <w:p w:rsidR="00DF1872" w:rsidRPr="00EC5079" w:rsidRDefault="00DF1872" w:rsidP="000240AD">
      <w:pPr>
        <w:pStyle w:val="Prrafodelista"/>
        <w:autoSpaceDE w:val="0"/>
        <w:autoSpaceDN w:val="0"/>
        <w:adjustRightInd w:val="0"/>
        <w:spacing w:line="360" w:lineRule="auto"/>
        <w:ind w:left="644"/>
        <w:jc w:val="both"/>
        <w:rPr>
          <w:i/>
          <w:color w:val="70AD47" w:themeColor="accent6"/>
        </w:rPr>
      </w:pPr>
      <w:r w:rsidRPr="00EC5079">
        <w:rPr>
          <w:rFonts w:eastAsiaTheme="minorHAnsi"/>
          <w:i/>
          <w:color w:val="000000"/>
          <w:sz w:val="20"/>
          <w:szCs w:val="20"/>
        </w:rPr>
        <w:t xml:space="preserve">“…La disposición </w:t>
      </w:r>
      <w:r w:rsidRPr="00EC5079">
        <w:rPr>
          <w:rFonts w:eastAsiaTheme="minorHAnsi"/>
          <w:bCs/>
          <w:i/>
          <w:sz w:val="20"/>
          <w:szCs w:val="20"/>
        </w:rPr>
        <w:t xml:space="preserve">transitoria </w:t>
      </w:r>
      <w:r w:rsidRPr="00EC5079">
        <w:rPr>
          <w:rFonts w:eastAsiaTheme="minorHAnsi"/>
          <w:i/>
          <w:color w:val="000000"/>
          <w:sz w:val="20"/>
          <w:szCs w:val="20"/>
        </w:rPr>
        <w:t>primera de la Ley 47/2007 estableció que las entidades que prestaran servicios de inversión deberían adaptar sus estatutos, programas de actividades y reglamentos internos de conducta a lo dispuesto en esa ley y en su normativa de desarrollo en el plazo de seis meses a partir de la entrada en vigor de la misma, lo que tuvo lugar, según su disposición final sexta, el día siguiente a su publicación en el BOE, esto es el 21 de diciembre de 2007. No se contempla en esa norma -tampoco en el RD 217/2008 , que entró en vigor el 17 de febrero de 2008- la suspensión de su entrada en vigor durante los seis meses que se conceden a las entidades financieras para su adaptación interna a la nueva normativa, ni excusa a estas de su inmediata observancia ( STS de 7 de julio de 2014, rec. 1520/2012 )…”</w:t>
      </w:r>
    </w:p>
    <w:p w:rsidR="00394887" w:rsidRPr="00EC5079" w:rsidRDefault="00DF1872"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Es decir, en la fecha en la que se perfeccionó el contrato que nos ocupa, era plenamente exigible de la entidad bancaria la realización </w:t>
      </w:r>
      <w:r w:rsidR="00394887" w:rsidRPr="00EC5079">
        <w:rPr>
          <w:rFonts w:ascii="Times New Roman" w:hAnsi="Times New Roman" w:cs="Times New Roman"/>
          <w:sz w:val="24"/>
          <w:szCs w:val="24"/>
        </w:rPr>
        <w:t xml:space="preserve">de dichos test. </w:t>
      </w:r>
      <w:r w:rsidR="000240AD" w:rsidRPr="00EC5079">
        <w:rPr>
          <w:rFonts w:ascii="Times New Roman" w:hAnsi="Times New Roman" w:cs="Times New Roman"/>
          <w:sz w:val="24"/>
          <w:szCs w:val="24"/>
        </w:rPr>
        <w:t xml:space="preserve">Y por ello, la sentencia que </w:t>
      </w:r>
      <w:r w:rsidR="000240AD" w:rsidRPr="00EC5079">
        <w:rPr>
          <w:rFonts w:ascii="Times New Roman" w:hAnsi="Times New Roman" w:cs="Times New Roman"/>
          <w:b/>
          <w:sz w:val="24"/>
          <w:szCs w:val="24"/>
        </w:rPr>
        <w:t>recurrimos se contrapone a la ley y a la jurisprudencia</w:t>
      </w:r>
      <w:r w:rsidR="00EB6B42" w:rsidRPr="00EC5079">
        <w:rPr>
          <w:rFonts w:ascii="Times New Roman" w:hAnsi="Times New Roman" w:cs="Times New Roman"/>
          <w:sz w:val="24"/>
          <w:szCs w:val="24"/>
        </w:rPr>
        <w:t xml:space="preserve"> por entender que no era exigible, y por tanto por no deducir todas las consecuencias en el presente caso por su no realización. </w:t>
      </w:r>
    </w:p>
    <w:p w:rsidR="008A1F98" w:rsidRPr="00EC5079" w:rsidRDefault="008A1F98"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p>
    <w:p w:rsidR="00CD7A42" w:rsidRPr="00C94B70" w:rsidRDefault="00CD7A42" w:rsidP="008B2535">
      <w:pPr>
        <w:tabs>
          <w:tab w:val="left" w:pos="142"/>
          <w:tab w:val="left" w:pos="567"/>
          <w:tab w:val="left" w:pos="709"/>
          <w:tab w:val="left" w:pos="851"/>
          <w:tab w:val="left" w:pos="1134"/>
          <w:tab w:val="left" w:pos="1418"/>
        </w:tabs>
        <w:spacing w:before="100" w:beforeAutospacing="1" w:after="100" w:afterAutospacing="1" w:line="360" w:lineRule="auto"/>
        <w:jc w:val="center"/>
        <w:rPr>
          <w:rFonts w:ascii="Times New Roman" w:hAnsi="Times New Roman" w:cs="Times New Roman"/>
          <w:sz w:val="24"/>
          <w:szCs w:val="24"/>
        </w:rPr>
      </w:pPr>
      <w:r w:rsidRPr="00C94B70">
        <w:rPr>
          <w:rFonts w:ascii="Times New Roman" w:hAnsi="Times New Roman" w:cs="Times New Roman"/>
          <w:b/>
          <w:sz w:val="24"/>
          <w:szCs w:val="24"/>
          <w:lang w:eastAsia="es-ES"/>
        </w:rPr>
        <w:t xml:space="preserve">SEGUNDO MOTIVO: INFRACCION DEL ART. 79 BIS LMV Y ART. </w:t>
      </w:r>
      <w:r w:rsidR="008A1F98" w:rsidRPr="00C94B70">
        <w:rPr>
          <w:rFonts w:ascii="Times New Roman" w:hAnsi="Times New Roman" w:cs="Times New Roman"/>
          <w:b/>
          <w:sz w:val="24"/>
          <w:szCs w:val="24"/>
          <w:lang w:eastAsia="es-ES"/>
        </w:rPr>
        <w:t>72</w:t>
      </w:r>
      <w:r w:rsidRPr="00C94B70">
        <w:rPr>
          <w:rFonts w:ascii="Times New Roman" w:hAnsi="Times New Roman" w:cs="Times New Roman"/>
          <w:b/>
          <w:sz w:val="24"/>
          <w:szCs w:val="24"/>
          <w:lang w:eastAsia="es-ES"/>
        </w:rPr>
        <w:t xml:space="preserve"> RD 217/2008 DE 15 DE FEBRERO Y </w:t>
      </w:r>
      <w:r w:rsidR="008B2535" w:rsidRPr="00C94B70">
        <w:rPr>
          <w:rFonts w:ascii="Times New Roman" w:hAnsi="Times New Roman" w:cs="Times New Roman"/>
          <w:b/>
          <w:sz w:val="24"/>
          <w:szCs w:val="24"/>
          <w:lang w:eastAsia="es-ES"/>
        </w:rPr>
        <w:t>LA JURISPRU</w:t>
      </w:r>
      <w:r w:rsidRPr="00C94B70">
        <w:rPr>
          <w:rFonts w:ascii="Times New Roman" w:hAnsi="Times New Roman" w:cs="Times New Roman"/>
          <w:b/>
          <w:sz w:val="24"/>
          <w:szCs w:val="24"/>
          <w:lang w:eastAsia="es-ES"/>
        </w:rPr>
        <w:t xml:space="preserve">DENCIA QUE LOS INTERPRETA. </w:t>
      </w:r>
      <w:r w:rsidR="008B2535" w:rsidRPr="00C94B70">
        <w:rPr>
          <w:rFonts w:ascii="Times New Roman" w:hAnsi="Times New Roman" w:cs="Times New Roman"/>
          <w:b/>
          <w:sz w:val="24"/>
          <w:szCs w:val="24"/>
          <w:lang w:eastAsia="es-ES"/>
        </w:rPr>
        <w:t xml:space="preserve">BANCO SANTANDER NO REALIZÓ EL PRECEPTIVO TEST </w:t>
      </w:r>
      <w:r w:rsidR="008B2535" w:rsidRPr="00C94B70">
        <w:rPr>
          <w:rFonts w:ascii="Times New Roman" w:hAnsi="Times New Roman" w:cs="Times New Roman"/>
          <w:b/>
          <w:sz w:val="24"/>
          <w:szCs w:val="24"/>
          <w:lang w:eastAsia="es-ES"/>
        </w:rPr>
        <w:lastRenderedPageBreak/>
        <w:t xml:space="preserve">DE IDONEIDAD SIENDO OBLIGATORIO. </w:t>
      </w:r>
      <w:r w:rsidR="00EB6B42" w:rsidRPr="00C94B70">
        <w:rPr>
          <w:rFonts w:ascii="Times New Roman" w:hAnsi="Times New Roman" w:cs="Times New Roman"/>
          <w:b/>
          <w:sz w:val="24"/>
          <w:szCs w:val="24"/>
          <w:lang w:eastAsia="es-ES"/>
        </w:rPr>
        <w:t xml:space="preserve">INFRACCION DE LA DOCRINA SOBRE LA </w:t>
      </w:r>
      <w:r w:rsidR="008B2535" w:rsidRPr="00C94B70">
        <w:rPr>
          <w:rFonts w:ascii="Times New Roman" w:hAnsi="Times New Roman" w:cs="Times New Roman"/>
          <w:b/>
          <w:sz w:val="24"/>
          <w:szCs w:val="24"/>
          <w:lang w:eastAsia="es-ES"/>
        </w:rPr>
        <w:t>PRESUNCION DEL ERROR VICIO.</w:t>
      </w:r>
    </w:p>
    <w:p w:rsidR="00CD7A42" w:rsidRPr="00EC5079" w:rsidRDefault="008B2535" w:rsidP="008B2535">
      <w:pPr>
        <w:pStyle w:val="Prrafodelista"/>
        <w:numPr>
          <w:ilvl w:val="0"/>
          <w:numId w:val="42"/>
        </w:numPr>
        <w:tabs>
          <w:tab w:val="left" w:pos="142"/>
          <w:tab w:val="left" w:pos="567"/>
          <w:tab w:val="left" w:pos="709"/>
          <w:tab w:val="left" w:pos="851"/>
          <w:tab w:val="left" w:pos="1134"/>
          <w:tab w:val="left" w:pos="1418"/>
        </w:tabs>
        <w:spacing w:before="100" w:beforeAutospacing="1" w:after="100" w:afterAutospacing="1" w:line="360" w:lineRule="auto"/>
        <w:jc w:val="both"/>
        <w:rPr>
          <w:b/>
        </w:rPr>
      </w:pPr>
      <w:r w:rsidRPr="00EC5079">
        <w:rPr>
          <w:b/>
        </w:rPr>
        <w:t xml:space="preserve">ENCABEZAMIENTO </w:t>
      </w:r>
    </w:p>
    <w:p w:rsidR="008B2535" w:rsidRPr="00EC5079" w:rsidRDefault="008B2535"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Como quiera que la sentencia de apelación concluye erróneamente, como hemos visto,  que Banco Santander estaba en periodo de moratoria para la realización del test de “conveniencia” no entra a valorar las consecuencias </w:t>
      </w:r>
      <w:r w:rsidR="008A1F98" w:rsidRPr="00EC5079">
        <w:rPr>
          <w:rFonts w:ascii="Times New Roman" w:hAnsi="Times New Roman" w:cs="Times New Roman"/>
          <w:sz w:val="24"/>
          <w:szCs w:val="24"/>
        </w:rPr>
        <w:t xml:space="preserve">que para el carácter excusable del error implica su </w:t>
      </w:r>
      <w:r w:rsidRPr="00EC5079">
        <w:rPr>
          <w:rFonts w:ascii="Times New Roman" w:hAnsi="Times New Roman" w:cs="Times New Roman"/>
          <w:sz w:val="24"/>
          <w:szCs w:val="24"/>
        </w:rPr>
        <w:t>no realización</w:t>
      </w:r>
      <w:r w:rsidR="008A1F98" w:rsidRPr="00EC5079">
        <w:rPr>
          <w:rFonts w:ascii="Times New Roman" w:hAnsi="Times New Roman" w:cs="Times New Roman"/>
          <w:sz w:val="24"/>
          <w:szCs w:val="24"/>
        </w:rPr>
        <w:t xml:space="preserve">. </w:t>
      </w:r>
    </w:p>
    <w:p w:rsidR="008A1F98" w:rsidRPr="00EC5079" w:rsidRDefault="008A1F98" w:rsidP="00DF1872">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Por ello entendemos que existe interés casacional, por cuanto la sentencia construye su fundamentación </w:t>
      </w:r>
      <w:r w:rsidR="00A055CE" w:rsidRPr="00EC5079">
        <w:rPr>
          <w:rFonts w:ascii="Times New Roman" w:hAnsi="Times New Roman" w:cs="Times New Roman"/>
          <w:sz w:val="24"/>
          <w:szCs w:val="24"/>
        </w:rPr>
        <w:t xml:space="preserve">jurídica de manera opuesta a como ha sido fijada por la jurisprudencia del </w:t>
      </w:r>
      <w:r w:rsidR="00A055CE" w:rsidRPr="00EC5079">
        <w:rPr>
          <w:rFonts w:ascii="Times New Roman" w:hAnsi="Times New Roman" w:cs="Times New Roman"/>
          <w:b/>
          <w:sz w:val="24"/>
          <w:szCs w:val="24"/>
        </w:rPr>
        <w:t>TS en Sentencias del Pleno 840/2013 de 20 de enero de 2014</w:t>
      </w:r>
      <w:r w:rsidR="00A055CE" w:rsidRPr="00EC5079">
        <w:rPr>
          <w:rFonts w:ascii="Times New Roman" w:hAnsi="Times New Roman" w:cs="Times New Roman"/>
          <w:sz w:val="24"/>
          <w:szCs w:val="24"/>
        </w:rPr>
        <w:t xml:space="preserve"> y </w:t>
      </w:r>
      <w:r w:rsidR="00A055CE" w:rsidRPr="00EC5079">
        <w:rPr>
          <w:rFonts w:ascii="Times New Roman" w:hAnsi="Times New Roman" w:cs="Times New Roman"/>
          <w:b/>
          <w:sz w:val="24"/>
          <w:szCs w:val="24"/>
        </w:rPr>
        <w:t>491/2015 de 15 de septiembre de 2015</w:t>
      </w:r>
      <w:r w:rsidR="00A055CE" w:rsidRPr="00EC5079">
        <w:rPr>
          <w:rFonts w:ascii="Times New Roman" w:hAnsi="Times New Roman" w:cs="Times New Roman"/>
          <w:sz w:val="24"/>
          <w:szCs w:val="24"/>
        </w:rPr>
        <w:t xml:space="preserve">, </w:t>
      </w:r>
      <w:r w:rsidR="009D1146">
        <w:rPr>
          <w:rFonts w:ascii="Times New Roman" w:hAnsi="Times New Roman" w:cs="Times New Roman"/>
          <w:sz w:val="24"/>
          <w:szCs w:val="24"/>
        </w:rPr>
        <w:t>que presume</w:t>
      </w:r>
      <w:r w:rsidR="00A055CE" w:rsidRPr="00EC5079">
        <w:rPr>
          <w:rFonts w:ascii="Times New Roman" w:hAnsi="Times New Roman" w:cs="Times New Roman"/>
          <w:sz w:val="24"/>
          <w:szCs w:val="24"/>
        </w:rPr>
        <w:t xml:space="preserve"> el error vicio cuando consta acreditada la no realización del test de idoneidad y </w:t>
      </w:r>
      <w:r w:rsidR="009D1146">
        <w:rPr>
          <w:rFonts w:ascii="Times New Roman" w:hAnsi="Times New Roman" w:cs="Times New Roman"/>
          <w:sz w:val="24"/>
          <w:szCs w:val="24"/>
        </w:rPr>
        <w:t xml:space="preserve">por </w:t>
      </w:r>
      <w:r w:rsidR="00A055CE" w:rsidRPr="00EC5079">
        <w:rPr>
          <w:rFonts w:ascii="Times New Roman" w:hAnsi="Times New Roman" w:cs="Times New Roman"/>
          <w:sz w:val="24"/>
          <w:szCs w:val="24"/>
        </w:rPr>
        <w:t xml:space="preserve">ello </w:t>
      </w:r>
      <w:r w:rsidR="009D1146">
        <w:rPr>
          <w:rFonts w:ascii="Times New Roman" w:hAnsi="Times New Roman" w:cs="Times New Roman"/>
          <w:sz w:val="24"/>
          <w:szCs w:val="24"/>
        </w:rPr>
        <w:t xml:space="preserve">la sentencia incurre en </w:t>
      </w:r>
      <w:r w:rsidR="00A055CE" w:rsidRPr="00EC5079">
        <w:rPr>
          <w:rFonts w:ascii="Times New Roman" w:hAnsi="Times New Roman" w:cs="Times New Roman"/>
          <w:b/>
          <w:sz w:val="24"/>
          <w:szCs w:val="24"/>
        </w:rPr>
        <w:t>infracción de los arts. 79 bis</w:t>
      </w:r>
      <w:r w:rsidR="00707F82" w:rsidRPr="00EC5079">
        <w:rPr>
          <w:rFonts w:ascii="Times New Roman" w:hAnsi="Times New Roman" w:cs="Times New Roman"/>
          <w:b/>
          <w:sz w:val="24"/>
          <w:szCs w:val="24"/>
        </w:rPr>
        <w:t xml:space="preserve"> 6</w:t>
      </w:r>
      <w:r w:rsidR="00EB6B42" w:rsidRPr="00EC5079">
        <w:rPr>
          <w:rFonts w:ascii="Times New Roman" w:hAnsi="Times New Roman" w:cs="Times New Roman"/>
          <w:b/>
          <w:sz w:val="24"/>
          <w:szCs w:val="24"/>
        </w:rPr>
        <w:t xml:space="preserve"> y 7 </w:t>
      </w:r>
      <w:r w:rsidR="00A055CE" w:rsidRPr="00EC5079">
        <w:rPr>
          <w:rFonts w:ascii="Times New Roman" w:hAnsi="Times New Roman" w:cs="Times New Roman"/>
          <w:b/>
          <w:sz w:val="24"/>
          <w:szCs w:val="24"/>
        </w:rPr>
        <w:t>de la LMV y 72</w:t>
      </w:r>
      <w:r w:rsidR="00707F82" w:rsidRPr="00EC5079">
        <w:rPr>
          <w:rFonts w:ascii="Times New Roman" w:hAnsi="Times New Roman" w:cs="Times New Roman"/>
          <w:b/>
          <w:sz w:val="24"/>
          <w:szCs w:val="24"/>
        </w:rPr>
        <w:t xml:space="preserve"> </w:t>
      </w:r>
      <w:r w:rsidR="00A055CE" w:rsidRPr="00EC5079">
        <w:rPr>
          <w:rFonts w:ascii="Times New Roman" w:hAnsi="Times New Roman" w:cs="Times New Roman"/>
          <w:b/>
          <w:sz w:val="24"/>
          <w:szCs w:val="24"/>
        </w:rPr>
        <w:t>del RD 217/2008 de 15 de febrero</w:t>
      </w:r>
      <w:r w:rsidR="00A055CE" w:rsidRPr="00EC5079">
        <w:rPr>
          <w:rFonts w:ascii="Times New Roman" w:hAnsi="Times New Roman" w:cs="Times New Roman"/>
          <w:sz w:val="24"/>
          <w:szCs w:val="24"/>
        </w:rPr>
        <w:t xml:space="preserve">. </w:t>
      </w:r>
    </w:p>
    <w:p w:rsidR="00A055CE" w:rsidRPr="00EC5079" w:rsidRDefault="00A055CE" w:rsidP="00A055CE">
      <w:pPr>
        <w:pStyle w:val="Prrafodelista"/>
        <w:numPr>
          <w:ilvl w:val="0"/>
          <w:numId w:val="42"/>
        </w:numPr>
        <w:tabs>
          <w:tab w:val="left" w:pos="142"/>
          <w:tab w:val="left" w:pos="567"/>
          <w:tab w:val="left" w:pos="709"/>
          <w:tab w:val="left" w:pos="851"/>
          <w:tab w:val="left" w:pos="1134"/>
          <w:tab w:val="left" w:pos="1418"/>
        </w:tabs>
        <w:spacing w:before="100" w:beforeAutospacing="1" w:after="100" w:afterAutospacing="1" w:line="360" w:lineRule="auto"/>
        <w:jc w:val="both"/>
        <w:rPr>
          <w:b/>
        </w:rPr>
      </w:pPr>
      <w:r w:rsidRPr="00EC5079">
        <w:rPr>
          <w:b/>
        </w:rPr>
        <w:t xml:space="preserve">DESARROLLO DEL MOTIVO.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En este motivo debemos partir del hecho pacifico de que la comercialización del producto que nos ocupa surgió de la iniciativa de la entidad bancaria. Así se deriva de los propios argumentos de la entidad bancaria (</w:t>
      </w:r>
      <w:r w:rsidRPr="00EC5079">
        <w:rPr>
          <w:rFonts w:ascii="Times New Roman" w:hAnsi="Times New Roman" w:cs="Times New Roman"/>
          <w:i/>
          <w:sz w:val="24"/>
          <w:szCs w:val="24"/>
        </w:rPr>
        <w:t>página 11 de la contestación a la demanda</w:t>
      </w:r>
      <w:r w:rsidRPr="00EC5079">
        <w:rPr>
          <w:rFonts w:ascii="Times New Roman" w:hAnsi="Times New Roman" w:cs="Times New Roman"/>
          <w:sz w:val="24"/>
          <w:szCs w:val="24"/>
        </w:rPr>
        <w:t xml:space="preserve">) </w:t>
      </w:r>
      <w:r w:rsidR="00EB6B42" w:rsidRPr="00EC5079">
        <w:rPr>
          <w:rFonts w:ascii="Times New Roman" w:hAnsi="Times New Roman" w:cs="Times New Roman"/>
          <w:sz w:val="24"/>
          <w:szCs w:val="24"/>
        </w:rPr>
        <w:t>y de haber reconocido que actuó</w:t>
      </w:r>
      <w:r w:rsidRPr="00EC5079">
        <w:rPr>
          <w:rFonts w:ascii="Times New Roman" w:hAnsi="Times New Roman" w:cs="Times New Roman"/>
          <w:sz w:val="24"/>
          <w:szCs w:val="24"/>
        </w:rPr>
        <w:t xml:space="preserve"> en cumplimiento de lo dispuesto en el art. 19 de la ley 36/2003 de 11 de noviembre, que los obligaba a ofertar productos de cobertura frente a las subidas de los tipos de interés, y así como de la declaración del propio testigo, ex empleado de la entidad bancaria, Sr. Bartolomé que mantuvo que la iniciativa de la contratación partió de la entidad. </w:t>
      </w:r>
    </w:p>
    <w:p w:rsidR="00EB6B42"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Surgiendo el ofrecimiento de la contratación del banco, la relación existente entre la empresa y Banco Santander era la de asesorami</w:t>
      </w:r>
      <w:r w:rsidR="00EB6B42" w:rsidRPr="00EC5079">
        <w:rPr>
          <w:rFonts w:ascii="Times New Roman" w:hAnsi="Times New Roman" w:cs="Times New Roman"/>
          <w:sz w:val="24"/>
          <w:szCs w:val="24"/>
        </w:rPr>
        <w:t xml:space="preserve">ento en materia de inversiones, por cuanto, no responde a la iniciativa del cliente, sino que se le presenta la oportunidad de contratarlo directamente por el empleado del banco como un producto conveniente a los efectos de que la empresa se viese protegida frente a las subidas de los tipos de interés.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Así lo ha fijado como doctrina la sentencia del pleno del </w:t>
      </w:r>
      <w:r w:rsidRPr="00EC5079">
        <w:rPr>
          <w:rFonts w:ascii="Times New Roman" w:hAnsi="Times New Roman" w:cs="Times New Roman"/>
          <w:b/>
          <w:sz w:val="24"/>
          <w:szCs w:val="24"/>
        </w:rPr>
        <w:t>TS 840/2013 de 20 de enero de 2014</w:t>
      </w:r>
      <w:r w:rsidRPr="00EC5079">
        <w:rPr>
          <w:rFonts w:ascii="Times New Roman" w:hAnsi="Times New Roman" w:cs="Times New Roman"/>
          <w:sz w:val="24"/>
          <w:szCs w:val="24"/>
        </w:rPr>
        <w:t xml:space="preserve">. </w:t>
      </w:r>
    </w:p>
    <w:p w:rsidR="00707F82"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hAnsi="Times New Roman" w:cs="Times New Roman"/>
          <w:i/>
          <w:sz w:val="20"/>
          <w:szCs w:val="24"/>
        </w:rPr>
      </w:pPr>
      <w:r w:rsidRPr="00EC5079">
        <w:rPr>
          <w:rFonts w:ascii="Times New Roman" w:hAnsi="Times New Roman" w:cs="Times New Roman"/>
          <w:b/>
          <w:bCs/>
          <w:i/>
          <w:sz w:val="20"/>
          <w:szCs w:val="24"/>
        </w:rPr>
        <w:lastRenderedPageBreak/>
        <w:t xml:space="preserve">“…9. </w:t>
      </w:r>
      <w:r w:rsidRPr="00EC5079">
        <w:rPr>
          <w:rFonts w:ascii="Times New Roman" w:hAnsi="Times New Roman" w:cs="Times New Roman"/>
          <w:i/>
          <w:sz w:val="20"/>
          <w:szCs w:val="24"/>
        </w:rPr>
        <w:t xml:space="preserve">Como afirma la STJUE de 30 de mayo de 2013, caso Genil 48. S.L. (C-604/2011), "(l)a cuestión de si un servicio de inversión constituye o no un asesoramiento en materia de inversión no depende de la naturaleza del instrumento financiero en que consiste sino de la forma en que este último es ofrecido al cliente o posible cliente" (apartado 53). Y esta valoración debe realizarse con los criterios previstos en el art. 52 Directiva 2006/73, que aclara la definición de servicio de asesoramiento en materia de inversión del art. 4.4 Directiva 2004/39/CE.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hAnsi="Times New Roman" w:cs="Times New Roman"/>
          <w:i/>
          <w:sz w:val="20"/>
          <w:szCs w:val="24"/>
        </w:rPr>
      </w:pPr>
      <w:r w:rsidRPr="00EC5079">
        <w:rPr>
          <w:rFonts w:ascii="Times New Roman" w:hAnsi="Times New Roman" w:cs="Times New Roman"/>
          <w:i/>
          <w:sz w:val="20"/>
          <w:szCs w:val="24"/>
        </w:rPr>
        <w:t xml:space="preserve">El art. 4.4 Directiva 2004/39/CE define el servicio de asesoramiento en materia de inversión como " </w:t>
      </w:r>
      <w:r w:rsidRPr="00EC5079">
        <w:rPr>
          <w:rFonts w:ascii="Times New Roman" w:hAnsi="Times New Roman" w:cs="Times New Roman"/>
          <w:i/>
          <w:iCs/>
          <w:sz w:val="20"/>
          <w:szCs w:val="24"/>
        </w:rPr>
        <w:t xml:space="preserve">la prestación de recomendaciones personalizadas a un cliente, sea a petición de éste o por iniciativa de la empresa de inversión, con respecto a una o más operaciones relativas a instrumentos financieros </w:t>
      </w:r>
      <w:r w:rsidRPr="00EC5079">
        <w:rPr>
          <w:rFonts w:ascii="Times New Roman" w:hAnsi="Times New Roman" w:cs="Times New Roman"/>
          <w:i/>
          <w:sz w:val="20"/>
          <w:szCs w:val="24"/>
        </w:rPr>
        <w:t>". Y el art. 52 Directiva 2006/73/CE aclara que "</w:t>
      </w:r>
      <w:r w:rsidRPr="00EC5079">
        <w:rPr>
          <w:rFonts w:ascii="Times New Roman" w:hAnsi="Times New Roman" w:cs="Times New Roman"/>
          <w:i/>
          <w:iCs/>
          <w:sz w:val="20"/>
          <w:szCs w:val="24"/>
        </w:rPr>
        <w:t xml:space="preserve">se entenderá por recomendación personal una recomendación realizada a una persona en su calidad de inversor o posible inversor </w:t>
      </w:r>
      <w:r w:rsidRPr="00EC5079">
        <w:rPr>
          <w:rFonts w:ascii="Times New Roman" w:hAnsi="Times New Roman" w:cs="Times New Roman"/>
          <w:i/>
          <w:sz w:val="20"/>
          <w:szCs w:val="24"/>
        </w:rPr>
        <w:t xml:space="preserve">(...)", que se presente como conveniente para esa persona o se base en una consideración de sus circunstancias personales. Carece de esta consideración de recomendación personalizada si se divulga exclusivamente a través de canales de distribución o va destinada al público.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hAnsi="Times New Roman" w:cs="Times New Roman"/>
          <w:i/>
          <w:sz w:val="20"/>
          <w:szCs w:val="24"/>
        </w:rPr>
      </w:pPr>
      <w:r w:rsidRPr="00EC5079">
        <w:rPr>
          <w:rFonts w:ascii="Times New Roman" w:hAnsi="Times New Roman" w:cs="Times New Roman"/>
          <w:i/>
          <w:sz w:val="20"/>
          <w:szCs w:val="24"/>
        </w:rPr>
        <w:t xml:space="preserve">De este modo, el Tribunal de Justicia entiende que tendrá la consideración de asesoramiento en materia de inversión la recomendación de suscribir un swap, realizada por la entidad financiera al cliente inversor, "que se presente como conveniente para el cliente o se base en una consideración de sus circunstancias personales, y que no esté divulgada exclusivamente a través de canales de distribución o destinada al público" (apartado 55).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hAnsi="Times New Roman" w:cs="Times New Roman"/>
          <w:sz w:val="20"/>
          <w:szCs w:val="24"/>
        </w:rPr>
      </w:pPr>
      <w:r w:rsidRPr="00EC5079">
        <w:rPr>
          <w:rFonts w:ascii="Times New Roman" w:hAnsi="Times New Roman" w:cs="Times New Roman"/>
          <w:i/>
          <w:sz w:val="20"/>
          <w:szCs w:val="24"/>
        </w:rPr>
        <w:t>A la vista de esta interpretación y de lo acreditado en la instancia, no cabe duda de que en nuestro caso Caixa del Penedés llevó a cabo un servicio se asesoramiento financiero, pues el contrato de swap fue ofrecido por la entidad financiera, por medio del subdirector de la oficina de Palamós, aprovechando la relación de confianza que tenía con el administrador del cliente inversor, como un producto financiero que podía paliar el riesgo de inflación en la adquisición de las materias primas….”</w:t>
      </w:r>
    </w:p>
    <w:p w:rsidR="00A055CE" w:rsidRPr="00EC5079" w:rsidRDefault="00EB6B42"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En consecuencia, s</w:t>
      </w:r>
      <w:r w:rsidR="00A055CE" w:rsidRPr="00EC5079">
        <w:rPr>
          <w:rFonts w:ascii="Times New Roman" w:hAnsi="Times New Roman" w:cs="Times New Roman"/>
          <w:sz w:val="24"/>
          <w:szCs w:val="24"/>
        </w:rPr>
        <w:t>iendo la relación de asesoramiento financiero en materia de inversiones y estando en vigor los arts. 79 bis</w:t>
      </w:r>
      <w:r w:rsidR="0085167E" w:rsidRPr="00EC5079">
        <w:rPr>
          <w:rFonts w:ascii="Times New Roman" w:hAnsi="Times New Roman" w:cs="Times New Roman"/>
          <w:sz w:val="24"/>
          <w:szCs w:val="24"/>
        </w:rPr>
        <w:t xml:space="preserve">. 6 </w:t>
      </w:r>
      <w:r w:rsidR="00A055CE" w:rsidRPr="00EC5079">
        <w:rPr>
          <w:rFonts w:ascii="Times New Roman" w:hAnsi="Times New Roman" w:cs="Times New Roman"/>
          <w:sz w:val="24"/>
          <w:szCs w:val="24"/>
        </w:rPr>
        <w:t xml:space="preserve"> de la LMV y 72 del RD 217/2008 de 15 de febrero la entidad tendría que haber sometido a su cliente al llamado </w:t>
      </w:r>
      <w:r w:rsidR="00A055CE" w:rsidRPr="00EC5079">
        <w:rPr>
          <w:rFonts w:ascii="Times New Roman" w:hAnsi="Times New Roman" w:cs="Times New Roman"/>
          <w:b/>
          <w:sz w:val="24"/>
          <w:szCs w:val="24"/>
        </w:rPr>
        <w:t>test de idoneidad</w:t>
      </w:r>
      <w:r w:rsidR="00A055CE" w:rsidRPr="00EC5079">
        <w:rPr>
          <w:rFonts w:ascii="Times New Roman" w:hAnsi="Times New Roman" w:cs="Times New Roman"/>
          <w:sz w:val="24"/>
          <w:szCs w:val="24"/>
        </w:rPr>
        <w:t xml:space="preserve"> para determinar los conocimientos y experiencias con los que contaba en materia de contratación de productos complejos, así como conocer las perspectivas de riesgo antes de ofrecer el producto que nos ocupa. </w:t>
      </w:r>
    </w:p>
    <w:p w:rsidR="00A055CE"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Así viene siendo reiterado por el TS en las numerosas sentencias en materia de swap que se dictan. A modo de ejemplo, la </w:t>
      </w:r>
      <w:r w:rsidRPr="00EC5079">
        <w:rPr>
          <w:rFonts w:ascii="Times New Roman" w:hAnsi="Times New Roman" w:cs="Times New Roman"/>
          <w:b/>
          <w:sz w:val="24"/>
          <w:szCs w:val="24"/>
        </w:rPr>
        <w:t>Sentencia del Pleno del TS 840/2013 de 20 de enero de 2014</w:t>
      </w:r>
      <w:r w:rsidRPr="00EC5079">
        <w:rPr>
          <w:rFonts w:ascii="Times New Roman" w:hAnsi="Times New Roman" w:cs="Times New Roman"/>
          <w:sz w:val="24"/>
          <w:szCs w:val="24"/>
        </w:rPr>
        <w:t xml:space="preserve"> y la de </w:t>
      </w:r>
      <w:r w:rsidRPr="00EC5079">
        <w:rPr>
          <w:rFonts w:ascii="Times New Roman" w:hAnsi="Times New Roman" w:cs="Times New Roman"/>
          <w:b/>
          <w:sz w:val="24"/>
          <w:szCs w:val="24"/>
        </w:rPr>
        <w:t>7 de julio de 2014, nº 385/2014</w:t>
      </w:r>
      <w:r w:rsidRPr="00EC5079">
        <w:rPr>
          <w:rFonts w:ascii="Times New Roman" w:hAnsi="Times New Roman" w:cs="Times New Roman"/>
          <w:sz w:val="24"/>
          <w:szCs w:val="24"/>
        </w:rPr>
        <w:t>, que establecen (</w:t>
      </w:r>
      <w:r w:rsidRPr="009D1146">
        <w:rPr>
          <w:rFonts w:ascii="Times New Roman" w:hAnsi="Times New Roman" w:cs="Times New Roman"/>
          <w:i/>
          <w:sz w:val="24"/>
          <w:szCs w:val="24"/>
        </w:rPr>
        <w:t>la negrita es nuestra</w:t>
      </w:r>
      <w:r w:rsidRPr="00EC5079">
        <w:rPr>
          <w:rFonts w:ascii="Times New Roman" w:hAnsi="Times New Roman" w:cs="Times New Roman"/>
          <w:sz w:val="24"/>
          <w:szCs w:val="24"/>
        </w:rPr>
        <w:t xml:space="preserve">): </w:t>
      </w:r>
    </w:p>
    <w:p w:rsidR="00A055CE" w:rsidRPr="00EC5079" w:rsidRDefault="00A055CE" w:rsidP="00A055CE">
      <w:pPr>
        <w:autoSpaceDE w:val="0"/>
        <w:autoSpaceDN w:val="0"/>
        <w:adjustRightInd w:val="0"/>
        <w:spacing w:after="0" w:line="360" w:lineRule="auto"/>
        <w:ind w:left="708"/>
        <w:jc w:val="both"/>
        <w:rPr>
          <w:rFonts w:ascii="Times New Roman" w:eastAsiaTheme="minorHAnsi" w:hAnsi="Times New Roman" w:cs="Times New Roman"/>
          <w:i/>
          <w:color w:val="000000"/>
          <w:sz w:val="20"/>
          <w:szCs w:val="20"/>
        </w:rPr>
      </w:pPr>
      <w:r w:rsidRPr="00EC5079">
        <w:rPr>
          <w:rFonts w:ascii="Times New Roman" w:eastAsiaTheme="minorHAnsi" w:hAnsi="Times New Roman" w:cs="Times New Roman"/>
          <w:i/>
          <w:color w:val="000000"/>
          <w:sz w:val="20"/>
          <w:szCs w:val="20"/>
        </w:rPr>
        <w:lastRenderedPageBreak/>
        <w:t xml:space="preserve">“…Para articular adecuadamente ese deber legal de la entidad financiera con la necesidad que el cliente minorista tiene de ser informado (conocer el producto financiero que contrata y los concretos riesgos que lleva asociados) y salvar así el desequilibrio de información que podría viciar el consentimiento por error, la normativa </w:t>
      </w:r>
      <w:r w:rsidRPr="00EC5079">
        <w:rPr>
          <w:rFonts w:ascii="Times New Roman" w:eastAsiaTheme="minorHAnsi" w:hAnsi="Times New Roman" w:cs="Times New Roman"/>
          <w:bCs/>
          <w:i/>
          <w:sz w:val="20"/>
          <w:szCs w:val="20"/>
        </w:rPr>
        <w:t xml:space="preserve">MiFID </w:t>
      </w:r>
      <w:r w:rsidRPr="00EC5079">
        <w:rPr>
          <w:rFonts w:ascii="Times New Roman" w:eastAsiaTheme="minorHAnsi" w:hAnsi="Times New Roman" w:cs="Times New Roman"/>
          <w:i/>
          <w:sz w:val="20"/>
          <w:szCs w:val="20"/>
        </w:rPr>
        <w:t>i</w:t>
      </w:r>
      <w:r w:rsidRPr="00EC5079">
        <w:rPr>
          <w:rFonts w:ascii="Times New Roman" w:eastAsiaTheme="minorHAnsi" w:hAnsi="Times New Roman" w:cs="Times New Roman"/>
          <w:i/>
          <w:color w:val="000000"/>
          <w:sz w:val="20"/>
          <w:szCs w:val="20"/>
        </w:rPr>
        <w:t xml:space="preserve">mpone a la entidad financiera otros deberes que guardan relación con el conflicto de intereses que se da en la comercialización de un producto financiero complejo y, en su caso, en la prestación de asesoramiento financiero para su contratación, como son la realización </w:t>
      </w:r>
      <w:r w:rsidRPr="00EC5079">
        <w:rPr>
          <w:rFonts w:ascii="Times New Roman" w:eastAsiaTheme="minorHAnsi" w:hAnsi="Times New Roman" w:cs="Times New Roman"/>
          <w:b/>
          <w:i/>
          <w:color w:val="000000"/>
          <w:sz w:val="20"/>
          <w:szCs w:val="20"/>
        </w:rPr>
        <w:t xml:space="preserve">del </w:t>
      </w:r>
      <w:r w:rsidRPr="00EC5079">
        <w:rPr>
          <w:rFonts w:ascii="Times New Roman" w:eastAsiaTheme="minorHAnsi" w:hAnsi="Times New Roman" w:cs="Times New Roman"/>
          <w:b/>
          <w:bCs/>
          <w:i/>
          <w:iCs/>
          <w:sz w:val="20"/>
          <w:szCs w:val="20"/>
        </w:rPr>
        <w:t>test</w:t>
      </w:r>
      <w:r w:rsidRPr="00EC5079">
        <w:rPr>
          <w:rFonts w:ascii="Times New Roman" w:eastAsiaTheme="minorHAnsi" w:hAnsi="Times New Roman" w:cs="Times New Roman"/>
          <w:b/>
          <w:bCs/>
          <w:i/>
          <w:iCs/>
          <w:color w:val="DE0000"/>
          <w:sz w:val="20"/>
          <w:szCs w:val="20"/>
        </w:rPr>
        <w:t xml:space="preserve"> </w:t>
      </w:r>
      <w:r w:rsidRPr="00EC5079">
        <w:rPr>
          <w:rFonts w:ascii="Times New Roman" w:eastAsiaTheme="minorHAnsi" w:hAnsi="Times New Roman" w:cs="Times New Roman"/>
          <w:b/>
          <w:i/>
          <w:iCs/>
          <w:color w:val="000000"/>
          <w:sz w:val="20"/>
          <w:szCs w:val="20"/>
        </w:rPr>
        <w:t xml:space="preserve">de conveniencia </w:t>
      </w:r>
      <w:r w:rsidRPr="00EC5079">
        <w:rPr>
          <w:rFonts w:ascii="Times New Roman" w:eastAsiaTheme="minorHAnsi" w:hAnsi="Times New Roman" w:cs="Times New Roman"/>
          <w:b/>
          <w:i/>
          <w:color w:val="000000"/>
          <w:sz w:val="20"/>
          <w:szCs w:val="20"/>
        </w:rPr>
        <w:t>– cuando la entidad financiera opera como simple ejecutante</w:t>
      </w:r>
      <w:r w:rsidRPr="00EC5079">
        <w:rPr>
          <w:rFonts w:ascii="Times New Roman" w:eastAsiaTheme="minorHAnsi" w:hAnsi="Times New Roman" w:cs="Times New Roman"/>
          <w:i/>
          <w:color w:val="000000"/>
          <w:sz w:val="20"/>
          <w:szCs w:val="20"/>
        </w:rPr>
        <w:t xml:space="preserve"> de la voluntad del cliente previamente formada, dirigido a evaluar si es capaz de comprender los riesgos que implica el producto o servicio de inversión que va a contratar-, y </w:t>
      </w:r>
      <w:r w:rsidRPr="00EC5079">
        <w:rPr>
          <w:rFonts w:ascii="Times New Roman" w:eastAsiaTheme="minorHAnsi" w:hAnsi="Times New Roman" w:cs="Times New Roman"/>
          <w:b/>
          <w:i/>
          <w:iCs/>
          <w:color w:val="000000"/>
          <w:sz w:val="20"/>
          <w:szCs w:val="20"/>
        </w:rPr>
        <w:t xml:space="preserve">el </w:t>
      </w:r>
      <w:r w:rsidRPr="00EC5079">
        <w:rPr>
          <w:rFonts w:ascii="Times New Roman" w:eastAsiaTheme="minorHAnsi" w:hAnsi="Times New Roman" w:cs="Times New Roman"/>
          <w:b/>
          <w:bCs/>
          <w:i/>
          <w:iCs/>
          <w:sz w:val="20"/>
          <w:szCs w:val="20"/>
        </w:rPr>
        <w:t xml:space="preserve">test </w:t>
      </w:r>
      <w:r w:rsidRPr="00EC5079">
        <w:rPr>
          <w:rFonts w:ascii="Times New Roman" w:eastAsiaTheme="minorHAnsi" w:hAnsi="Times New Roman" w:cs="Times New Roman"/>
          <w:b/>
          <w:i/>
          <w:iCs/>
          <w:color w:val="000000"/>
          <w:sz w:val="20"/>
          <w:szCs w:val="20"/>
        </w:rPr>
        <w:t xml:space="preserve">de idoneidad </w:t>
      </w:r>
      <w:r w:rsidRPr="00EC5079">
        <w:rPr>
          <w:rFonts w:ascii="Times New Roman" w:eastAsiaTheme="minorHAnsi" w:hAnsi="Times New Roman" w:cs="Times New Roman"/>
          <w:b/>
          <w:i/>
          <w:color w:val="000000"/>
          <w:sz w:val="20"/>
          <w:szCs w:val="20"/>
        </w:rPr>
        <w:t>, cuando el servicio prestado es de asesoramiento financiero</w:t>
      </w:r>
      <w:r w:rsidRPr="00EC5079">
        <w:rPr>
          <w:rFonts w:ascii="Times New Roman" w:eastAsiaTheme="minorHAnsi" w:hAnsi="Times New Roman" w:cs="Times New Roman"/>
          <w:i/>
          <w:color w:val="000000"/>
          <w:sz w:val="20"/>
          <w:szCs w:val="20"/>
        </w:rPr>
        <w:t xml:space="preserve"> dirigido, además de la anterior evaluación, a efectuar un informe sobre la situación financiera y los objetivos de inversión del cliente para poder recomendarle ese producto.</w:t>
      </w:r>
    </w:p>
    <w:p w:rsidR="00A055CE" w:rsidRPr="00EC5079" w:rsidRDefault="00A055CE" w:rsidP="00A055CE">
      <w:pPr>
        <w:autoSpaceDE w:val="0"/>
        <w:autoSpaceDN w:val="0"/>
        <w:adjustRightInd w:val="0"/>
        <w:spacing w:after="0" w:line="360" w:lineRule="auto"/>
        <w:ind w:left="708" w:firstLine="708"/>
        <w:rPr>
          <w:rFonts w:ascii="Times New Roman" w:eastAsiaTheme="minorHAnsi" w:hAnsi="Times New Roman" w:cs="Times New Roman"/>
          <w:color w:val="000000"/>
          <w:sz w:val="20"/>
          <w:szCs w:val="20"/>
        </w:rPr>
      </w:pPr>
      <w:r w:rsidRPr="00EC5079">
        <w:rPr>
          <w:rFonts w:ascii="Times New Roman" w:eastAsiaTheme="minorHAnsi" w:hAnsi="Times New Roman" w:cs="Times New Roman"/>
          <w:color w:val="000000"/>
          <w:sz w:val="20"/>
          <w:szCs w:val="20"/>
        </w:rPr>
        <w:t>(…)</w:t>
      </w:r>
    </w:p>
    <w:p w:rsidR="00A055CE" w:rsidRPr="00EC5079" w:rsidRDefault="00A055CE" w:rsidP="00A055CE">
      <w:pPr>
        <w:autoSpaceDE w:val="0"/>
        <w:autoSpaceDN w:val="0"/>
        <w:adjustRightInd w:val="0"/>
        <w:spacing w:after="0" w:line="360" w:lineRule="auto"/>
        <w:ind w:left="708"/>
        <w:jc w:val="both"/>
        <w:rPr>
          <w:rFonts w:ascii="Times New Roman" w:eastAsiaTheme="minorHAnsi" w:hAnsi="Times New Roman" w:cs="Times New Roman"/>
          <w:i/>
          <w:color w:val="000000"/>
          <w:sz w:val="20"/>
          <w:szCs w:val="20"/>
        </w:rPr>
      </w:pPr>
      <w:r w:rsidRPr="00EC5079">
        <w:rPr>
          <w:rFonts w:ascii="Times New Roman" w:eastAsiaTheme="minorHAnsi" w:hAnsi="Times New Roman" w:cs="Times New Roman"/>
          <w:i/>
          <w:color w:val="000000"/>
          <w:sz w:val="20"/>
          <w:szCs w:val="20"/>
        </w:rPr>
        <w:t xml:space="preserve">Además, en la STS nº 840/2013 esta Sala se refirió a la diferente función de ambas evaluaciones, distinguiendo la finalidad del </w:t>
      </w:r>
      <w:r w:rsidRPr="00EC5079">
        <w:rPr>
          <w:rFonts w:ascii="Times New Roman" w:eastAsiaTheme="minorHAnsi" w:hAnsi="Times New Roman" w:cs="Times New Roman"/>
          <w:b/>
          <w:bCs/>
          <w:i/>
          <w:sz w:val="20"/>
          <w:szCs w:val="20"/>
        </w:rPr>
        <w:t>test</w:t>
      </w:r>
      <w:r w:rsidRPr="00EC5079">
        <w:rPr>
          <w:rFonts w:ascii="Times New Roman" w:eastAsiaTheme="minorHAnsi" w:hAnsi="Times New Roman" w:cs="Times New Roman"/>
          <w:b/>
          <w:bCs/>
          <w:i/>
          <w:color w:val="DE0000"/>
          <w:sz w:val="20"/>
          <w:szCs w:val="20"/>
        </w:rPr>
        <w:t xml:space="preserve"> </w:t>
      </w:r>
      <w:r w:rsidRPr="00EC5079">
        <w:rPr>
          <w:rFonts w:ascii="Times New Roman" w:eastAsiaTheme="minorHAnsi" w:hAnsi="Times New Roman" w:cs="Times New Roman"/>
          <w:b/>
          <w:i/>
          <w:color w:val="000000"/>
          <w:sz w:val="20"/>
          <w:szCs w:val="20"/>
        </w:rPr>
        <w:t>de conveniencia</w:t>
      </w:r>
      <w:r w:rsidRPr="00EC5079">
        <w:rPr>
          <w:rFonts w:ascii="Times New Roman" w:eastAsiaTheme="minorHAnsi" w:hAnsi="Times New Roman" w:cs="Times New Roman"/>
          <w:i/>
          <w:color w:val="000000"/>
          <w:sz w:val="20"/>
          <w:szCs w:val="20"/>
        </w:rPr>
        <w:t xml:space="preserve"> -que va dirigido a la </w:t>
      </w:r>
      <w:r w:rsidRPr="00EC5079">
        <w:rPr>
          <w:rFonts w:ascii="Times New Roman" w:eastAsiaTheme="minorHAnsi" w:hAnsi="Times New Roman" w:cs="Times New Roman"/>
          <w:b/>
          <w:i/>
          <w:color w:val="000000"/>
          <w:sz w:val="20"/>
          <w:szCs w:val="20"/>
        </w:rPr>
        <w:t>valoración de los conocimientos</w:t>
      </w:r>
      <w:r w:rsidRPr="00EC5079">
        <w:rPr>
          <w:rFonts w:ascii="Times New Roman" w:eastAsiaTheme="minorHAnsi" w:hAnsi="Times New Roman" w:cs="Times New Roman"/>
          <w:i/>
          <w:color w:val="000000"/>
          <w:sz w:val="20"/>
          <w:szCs w:val="20"/>
        </w:rPr>
        <w:t xml:space="preserve"> (estudios y profesión) </w:t>
      </w:r>
      <w:r w:rsidRPr="00EC5079">
        <w:rPr>
          <w:rFonts w:ascii="Times New Roman" w:eastAsiaTheme="minorHAnsi" w:hAnsi="Times New Roman" w:cs="Times New Roman"/>
          <w:b/>
          <w:i/>
          <w:color w:val="000000"/>
          <w:sz w:val="20"/>
          <w:szCs w:val="20"/>
        </w:rPr>
        <w:t>y la experiencia</w:t>
      </w:r>
      <w:r w:rsidRPr="00EC5079">
        <w:rPr>
          <w:rFonts w:ascii="Times New Roman" w:eastAsiaTheme="minorHAnsi" w:hAnsi="Times New Roman" w:cs="Times New Roman"/>
          <w:i/>
          <w:color w:val="000000"/>
          <w:sz w:val="20"/>
          <w:szCs w:val="20"/>
        </w:rPr>
        <w:t xml:space="preserve"> (frecuencia y volumen de operaciones) del cliente, con el objetivo de que la entidad financiera pueda hacerse una idea de sus competencias en materia financiera y pueda determinar si el cliente es capaz de comprender los riesgos que implica el producto o servicio de inversión para ser capaz de tomar decisiones de inversión con conocimiento de causa, en los términos que establece el artículo 73 RD 217/2008 -, de la finalidad </w:t>
      </w:r>
      <w:r w:rsidRPr="00EC5079">
        <w:rPr>
          <w:rFonts w:ascii="Times New Roman" w:eastAsiaTheme="minorHAnsi" w:hAnsi="Times New Roman" w:cs="Times New Roman"/>
          <w:b/>
          <w:i/>
          <w:color w:val="000000"/>
          <w:sz w:val="20"/>
          <w:szCs w:val="20"/>
        </w:rPr>
        <w:t xml:space="preserve">del </w:t>
      </w:r>
      <w:r w:rsidRPr="00EC5079">
        <w:rPr>
          <w:rFonts w:ascii="Times New Roman" w:eastAsiaTheme="minorHAnsi" w:hAnsi="Times New Roman" w:cs="Times New Roman"/>
          <w:b/>
          <w:bCs/>
          <w:i/>
          <w:sz w:val="20"/>
          <w:szCs w:val="20"/>
        </w:rPr>
        <w:t xml:space="preserve">test </w:t>
      </w:r>
      <w:r w:rsidRPr="00EC5079">
        <w:rPr>
          <w:rFonts w:ascii="Times New Roman" w:eastAsiaTheme="minorHAnsi" w:hAnsi="Times New Roman" w:cs="Times New Roman"/>
          <w:b/>
          <w:i/>
          <w:color w:val="000000"/>
          <w:sz w:val="20"/>
          <w:szCs w:val="20"/>
        </w:rPr>
        <w:t>de idoneidad</w:t>
      </w:r>
      <w:r w:rsidRPr="00EC5079">
        <w:rPr>
          <w:rFonts w:ascii="Times New Roman" w:eastAsiaTheme="minorHAnsi" w:hAnsi="Times New Roman" w:cs="Times New Roman"/>
          <w:i/>
          <w:color w:val="000000"/>
          <w:sz w:val="20"/>
          <w:szCs w:val="20"/>
        </w:rPr>
        <w:t xml:space="preserve"> -que procede, como se ha dicho, cuando se haya prestado un servicio de asesoramiento en materia de inversiones o de gestión de cartera mediante la realización de una recomendación personalizada-, </w:t>
      </w:r>
      <w:r w:rsidRPr="00EC5079">
        <w:rPr>
          <w:rFonts w:ascii="Times New Roman" w:eastAsiaTheme="minorHAnsi" w:hAnsi="Times New Roman" w:cs="Times New Roman"/>
          <w:b/>
          <w:i/>
          <w:color w:val="000000"/>
          <w:sz w:val="20"/>
          <w:szCs w:val="20"/>
        </w:rPr>
        <w:t xml:space="preserve">en el que se suma el </w:t>
      </w:r>
      <w:r w:rsidRPr="00EC5079">
        <w:rPr>
          <w:rFonts w:ascii="Times New Roman" w:eastAsiaTheme="minorHAnsi" w:hAnsi="Times New Roman" w:cs="Times New Roman"/>
          <w:b/>
          <w:bCs/>
          <w:i/>
          <w:sz w:val="20"/>
          <w:szCs w:val="20"/>
        </w:rPr>
        <w:t>test</w:t>
      </w:r>
      <w:r w:rsidRPr="00EC5079">
        <w:rPr>
          <w:rFonts w:ascii="Times New Roman" w:eastAsiaTheme="minorHAnsi" w:hAnsi="Times New Roman" w:cs="Times New Roman"/>
          <w:b/>
          <w:bCs/>
          <w:i/>
          <w:color w:val="DE0000"/>
          <w:sz w:val="20"/>
          <w:szCs w:val="20"/>
        </w:rPr>
        <w:t xml:space="preserve"> </w:t>
      </w:r>
      <w:r w:rsidRPr="00EC5079">
        <w:rPr>
          <w:rFonts w:ascii="Times New Roman" w:eastAsiaTheme="minorHAnsi" w:hAnsi="Times New Roman" w:cs="Times New Roman"/>
          <w:b/>
          <w:i/>
          <w:color w:val="000000"/>
          <w:sz w:val="20"/>
          <w:szCs w:val="20"/>
        </w:rPr>
        <w:t>de conveniencia</w:t>
      </w:r>
      <w:r w:rsidRPr="00EC5079">
        <w:rPr>
          <w:rFonts w:ascii="Times New Roman" w:eastAsiaTheme="minorHAnsi" w:hAnsi="Times New Roman" w:cs="Times New Roman"/>
          <w:i/>
          <w:color w:val="000000"/>
          <w:sz w:val="20"/>
          <w:szCs w:val="20"/>
        </w:rPr>
        <w:t xml:space="preserve"> (sobre conocimientos y experiencia en materia financiera del cliente) </w:t>
      </w:r>
      <w:r w:rsidRPr="00EC5079">
        <w:rPr>
          <w:rFonts w:ascii="Times New Roman" w:eastAsiaTheme="minorHAnsi" w:hAnsi="Times New Roman" w:cs="Times New Roman"/>
          <w:b/>
          <w:i/>
          <w:color w:val="000000"/>
          <w:sz w:val="20"/>
          <w:szCs w:val="20"/>
        </w:rPr>
        <w:t>a un informe sobre su situación financiera</w:t>
      </w:r>
      <w:r w:rsidRPr="00EC5079">
        <w:rPr>
          <w:rFonts w:ascii="Times New Roman" w:eastAsiaTheme="minorHAnsi" w:hAnsi="Times New Roman" w:cs="Times New Roman"/>
          <w:i/>
          <w:color w:val="000000"/>
          <w:sz w:val="20"/>
          <w:szCs w:val="20"/>
        </w:rPr>
        <w:t xml:space="preserve"> (ingresos, gastos y patrimonio) y </w:t>
      </w:r>
      <w:r w:rsidRPr="00EC5079">
        <w:rPr>
          <w:rFonts w:ascii="Times New Roman" w:eastAsiaTheme="minorHAnsi" w:hAnsi="Times New Roman" w:cs="Times New Roman"/>
          <w:b/>
          <w:i/>
          <w:color w:val="000000"/>
          <w:sz w:val="20"/>
          <w:szCs w:val="20"/>
        </w:rPr>
        <w:t>sus objetivos de inversión</w:t>
      </w:r>
      <w:r w:rsidRPr="00EC5079">
        <w:rPr>
          <w:rFonts w:ascii="Times New Roman" w:eastAsiaTheme="minorHAnsi" w:hAnsi="Times New Roman" w:cs="Times New Roman"/>
          <w:i/>
          <w:color w:val="000000"/>
          <w:sz w:val="20"/>
          <w:szCs w:val="20"/>
        </w:rPr>
        <w:t xml:space="preserve"> (duración prevista, perfil de riesgo y finalidad) para recomendarle los servicios o instrumentos que más le convengan, según especifica el artículo del 72 del RD 217/2008…”</w:t>
      </w:r>
    </w:p>
    <w:p w:rsidR="00403013" w:rsidRPr="00EC5079" w:rsidRDefault="00403013" w:rsidP="00403013">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En el caso </w:t>
      </w:r>
      <w:r w:rsidR="00EB6B42" w:rsidRPr="00EC5079">
        <w:rPr>
          <w:rFonts w:ascii="Times New Roman" w:eastAsiaTheme="minorHAnsi" w:hAnsi="Times New Roman" w:cs="Times New Roman"/>
          <w:iCs/>
          <w:color w:val="000000"/>
          <w:sz w:val="24"/>
          <w:szCs w:val="24"/>
        </w:rPr>
        <w:t>presente</w:t>
      </w:r>
      <w:r w:rsidRPr="00EC5079">
        <w:rPr>
          <w:rFonts w:ascii="Times New Roman" w:eastAsiaTheme="minorHAnsi" w:hAnsi="Times New Roman" w:cs="Times New Roman"/>
          <w:iCs/>
          <w:color w:val="000000"/>
          <w:sz w:val="24"/>
          <w:szCs w:val="24"/>
        </w:rPr>
        <w:t xml:space="preserve"> el </w:t>
      </w:r>
      <w:r w:rsidRPr="00EC5079">
        <w:rPr>
          <w:rFonts w:ascii="Times New Roman" w:eastAsiaTheme="minorHAnsi" w:hAnsi="Times New Roman" w:cs="Times New Roman"/>
          <w:b/>
          <w:iCs/>
          <w:color w:val="000000"/>
          <w:sz w:val="24"/>
          <w:szCs w:val="24"/>
          <w:u w:val="single"/>
        </w:rPr>
        <w:t>test de idoneidad no se realizó</w:t>
      </w:r>
      <w:r w:rsidRPr="00EC5079">
        <w:rPr>
          <w:rFonts w:ascii="Times New Roman" w:eastAsiaTheme="minorHAnsi" w:hAnsi="Times New Roman" w:cs="Times New Roman"/>
          <w:iCs/>
          <w:color w:val="000000"/>
          <w:sz w:val="24"/>
          <w:szCs w:val="24"/>
        </w:rPr>
        <w:t xml:space="preserve">. </w:t>
      </w:r>
    </w:p>
    <w:p w:rsidR="00403013" w:rsidRPr="00EC5079" w:rsidRDefault="00403013" w:rsidP="00403013">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Indudablemente el incumplimiento por la entidad bancaria de la cumplimentación de dicho test, no tiene porqué determinar automáticamente la concurrencia del error. Un cliente al que no se le dan explicaciones o que no es sometido al test de idoneidad, puede no haber sufrido vicio del consentimiento alguno porque ya tuviera conocimiento suficiente del funcionamiento y riesgo del producto. Pero lo anterior debe acreditarse por la entidad bancaria.  O dicho de otro modo, </w:t>
      </w:r>
      <w:r w:rsidRPr="00EC5079">
        <w:rPr>
          <w:rFonts w:ascii="Times New Roman" w:eastAsiaTheme="minorHAnsi" w:hAnsi="Times New Roman" w:cs="Times New Roman"/>
          <w:b/>
          <w:iCs/>
          <w:color w:val="000000"/>
          <w:sz w:val="24"/>
          <w:szCs w:val="24"/>
          <w:u w:val="single"/>
        </w:rPr>
        <w:t>no debe presumirse que un cliente minorista tiene conocimientos en productos financieros complejos por el hecho de estar firmado el contrato de permuta</w:t>
      </w:r>
      <w:r w:rsidRPr="00EC5079">
        <w:rPr>
          <w:rFonts w:ascii="Times New Roman" w:eastAsiaTheme="minorHAnsi" w:hAnsi="Times New Roman" w:cs="Times New Roman"/>
          <w:iCs/>
          <w:color w:val="000000"/>
          <w:sz w:val="24"/>
          <w:szCs w:val="24"/>
        </w:rPr>
        <w:t xml:space="preserve">. Y ello porque cuando se ha incumplido la obligación de sometimiento al test de idoneidad respecto de un cliente minorista, la lógica </w:t>
      </w:r>
      <w:r w:rsidRPr="00EC5079">
        <w:rPr>
          <w:rFonts w:ascii="Times New Roman" w:eastAsiaTheme="minorHAnsi" w:hAnsi="Times New Roman" w:cs="Times New Roman"/>
          <w:iCs/>
          <w:color w:val="000000"/>
          <w:sz w:val="24"/>
          <w:szCs w:val="24"/>
        </w:rPr>
        <w:lastRenderedPageBreak/>
        <w:t xml:space="preserve">y la razón exigen que la presunción sea precisamente la contraria, la </w:t>
      </w:r>
      <w:r w:rsidR="00EB6B42" w:rsidRPr="00EC5079">
        <w:rPr>
          <w:rFonts w:ascii="Times New Roman" w:eastAsiaTheme="minorHAnsi" w:hAnsi="Times New Roman" w:cs="Times New Roman"/>
          <w:iCs/>
          <w:color w:val="000000"/>
          <w:sz w:val="24"/>
          <w:szCs w:val="24"/>
        </w:rPr>
        <w:t xml:space="preserve">de incapacidad para comprender el riesgo y funcionamiento del producto y, por tanto,  la </w:t>
      </w:r>
      <w:r w:rsidRPr="00EC5079">
        <w:rPr>
          <w:rFonts w:ascii="Times New Roman" w:eastAsiaTheme="minorHAnsi" w:hAnsi="Times New Roman" w:cs="Times New Roman"/>
          <w:iCs/>
          <w:color w:val="000000"/>
          <w:sz w:val="24"/>
          <w:szCs w:val="24"/>
        </w:rPr>
        <w:t xml:space="preserve">presunción del error. </w:t>
      </w:r>
    </w:p>
    <w:p w:rsidR="00403013" w:rsidRPr="00EC5079" w:rsidRDefault="00403013" w:rsidP="00403013">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Así lo plasman la </w:t>
      </w:r>
      <w:r w:rsidRPr="00EC5079">
        <w:rPr>
          <w:rFonts w:ascii="Times New Roman" w:eastAsiaTheme="minorHAnsi" w:hAnsi="Times New Roman" w:cs="Times New Roman"/>
          <w:b/>
          <w:iCs/>
          <w:color w:val="000000"/>
          <w:sz w:val="24"/>
          <w:szCs w:val="24"/>
        </w:rPr>
        <w:t>Sentencia del Pleno del TS nº 840/2013,  de 20 de enero de 2014</w:t>
      </w:r>
      <w:r w:rsidRPr="00EC5079">
        <w:rPr>
          <w:rFonts w:ascii="Times New Roman" w:eastAsiaTheme="minorHAnsi" w:hAnsi="Times New Roman" w:cs="Times New Roman"/>
          <w:iCs/>
          <w:color w:val="000000"/>
          <w:sz w:val="24"/>
          <w:szCs w:val="24"/>
        </w:rPr>
        <w:t xml:space="preserve"> y lo recoge una muy reciente </w:t>
      </w:r>
      <w:r w:rsidRPr="00EC5079">
        <w:rPr>
          <w:rFonts w:ascii="Times New Roman" w:eastAsiaTheme="minorHAnsi" w:hAnsi="Times New Roman" w:cs="Times New Roman"/>
          <w:b/>
          <w:iCs/>
          <w:color w:val="000000"/>
          <w:sz w:val="24"/>
          <w:szCs w:val="24"/>
        </w:rPr>
        <w:t>Sentencia del TS nº 223/2017 de 5 de abril</w:t>
      </w:r>
      <w:r w:rsidRPr="00EC5079">
        <w:rPr>
          <w:rFonts w:ascii="Times New Roman" w:eastAsiaTheme="minorHAnsi" w:hAnsi="Times New Roman" w:cs="Times New Roman"/>
          <w:iCs/>
          <w:color w:val="000000"/>
          <w:sz w:val="24"/>
          <w:szCs w:val="24"/>
        </w:rPr>
        <w:t xml:space="preserve">, </w:t>
      </w:r>
    </w:p>
    <w:p w:rsidR="00403013" w:rsidRPr="00EC5079" w:rsidRDefault="00403013" w:rsidP="00403013">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eastAsiaTheme="minorHAnsi" w:hAnsi="Times New Roman" w:cs="Times New Roman"/>
          <w:i/>
          <w:iCs/>
          <w:color w:val="000000"/>
          <w:sz w:val="20"/>
          <w:szCs w:val="20"/>
        </w:rPr>
      </w:pPr>
      <w:r w:rsidRPr="00EC5079">
        <w:rPr>
          <w:rFonts w:ascii="Times New Roman" w:hAnsi="Times New Roman" w:cs="Times New Roman"/>
          <w:i/>
          <w:sz w:val="20"/>
          <w:szCs w:val="20"/>
        </w:rPr>
        <w:t xml:space="preserve">“…En caso de incumplimiento de este deber, lo relevante para juzgar sobre el error vicio no es tanto la evaluación sobre la conveniencia de la operación, en atención a los intereses del cliente minorista que contrata el swap, como si al hacerlo tenía un conocimiento suficiente de este producto complejo y de los concretos riesgos asociados al mismo. </w:t>
      </w:r>
      <w:r w:rsidRPr="00EC5079">
        <w:rPr>
          <w:rFonts w:ascii="Times New Roman" w:hAnsi="Times New Roman" w:cs="Times New Roman"/>
          <w:b/>
          <w:i/>
          <w:sz w:val="20"/>
          <w:szCs w:val="20"/>
        </w:rPr>
        <w:t>La omisión del test que debía recoger esta valoración</w:t>
      </w:r>
      <w:r w:rsidRPr="00EC5079">
        <w:rPr>
          <w:rFonts w:ascii="Times New Roman" w:hAnsi="Times New Roman" w:cs="Times New Roman"/>
          <w:i/>
          <w:sz w:val="20"/>
          <w:szCs w:val="20"/>
        </w:rPr>
        <w:t xml:space="preserve">, si bien no impide que en algún caso el cliente goce de este conocimiento y por lo tanto no haya padecido error al contratar, lleva a presumir en el cliente la falta del conocimiento suficiente sobre el producto contratado y sus riesgos asociados que vicia el consentimiento. Por eso la ausencia del test no determina por sí la existencia del error vicio, </w:t>
      </w:r>
      <w:r w:rsidRPr="00EC5079">
        <w:rPr>
          <w:rFonts w:ascii="Times New Roman" w:hAnsi="Times New Roman" w:cs="Times New Roman"/>
          <w:b/>
          <w:i/>
          <w:sz w:val="20"/>
          <w:szCs w:val="20"/>
        </w:rPr>
        <w:t>pero sí permite presumirlo</w:t>
      </w:r>
      <w:r w:rsidRPr="00EC5079">
        <w:rPr>
          <w:rFonts w:ascii="Times New Roman" w:hAnsi="Times New Roman" w:cs="Times New Roman"/>
          <w:i/>
          <w:sz w:val="20"/>
          <w:szCs w:val="20"/>
        </w:rPr>
        <w:t>….”</w:t>
      </w:r>
    </w:p>
    <w:p w:rsidR="00592CB5" w:rsidRPr="00EC5079" w:rsidRDefault="00A055CE" w:rsidP="00A055C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En consecuencia, </w:t>
      </w:r>
      <w:r w:rsidR="0085167E" w:rsidRPr="00EC5079">
        <w:rPr>
          <w:rFonts w:ascii="Times New Roman" w:hAnsi="Times New Roman" w:cs="Times New Roman"/>
          <w:sz w:val="24"/>
          <w:szCs w:val="24"/>
        </w:rPr>
        <w:t>la sentencia que recurrimos se opone a la jurisprudencia y existe</w:t>
      </w:r>
      <w:r w:rsidR="00592CB5" w:rsidRPr="00EC5079">
        <w:rPr>
          <w:rFonts w:ascii="Times New Roman" w:hAnsi="Times New Roman" w:cs="Times New Roman"/>
          <w:sz w:val="24"/>
          <w:szCs w:val="24"/>
        </w:rPr>
        <w:t xml:space="preserve"> indudable</w:t>
      </w:r>
      <w:r w:rsidR="0085167E" w:rsidRPr="00EC5079">
        <w:rPr>
          <w:rFonts w:ascii="Times New Roman" w:hAnsi="Times New Roman" w:cs="Times New Roman"/>
          <w:sz w:val="24"/>
          <w:szCs w:val="24"/>
        </w:rPr>
        <w:t xml:space="preserve"> interés casacional porque</w:t>
      </w:r>
      <w:r w:rsidR="00592CB5" w:rsidRPr="00EC5079">
        <w:rPr>
          <w:rFonts w:ascii="Times New Roman" w:hAnsi="Times New Roman" w:cs="Times New Roman"/>
          <w:sz w:val="24"/>
          <w:szCs w:val="24"/>
        </w:rPr>
        <w:t xml:space="preserve"> constando probado que no se realizó test de idoneidad y por tanto, presumiéndose que ni la empresa ni su representante tenían los conocimientos y experiencias necesarios para comprender el funcionamiento de una permuta </w:t>
      </w:r>
      <w:r w:rsidR="00721CE0" w:rsidRPr="00EC5079">
        <w:rPr>
          <w:rFonts w:ascii="Times New Roman" w:hAnsi="Times New Roman" w:cs="Times New Roman"/>
          <w:sz w:val="24"/>
          <w:szCs w:val="24"/>
        </w:rPr>
        <w:t xml:space="preserve">financiera no ha deducido todas las consecuencias de tal presunción, a saber </w:t>
      </w:r>
      <w:r w:rsidR="00592CB5" w:rsidRPr="00EC5079">
        <w:rPr>
          <w:rFonts w:ascii="Times New Roman" w:hAnsi="Times New Roman" w:cs="Times New Roman"/>
          <w:sz w:val="24"/>
          <w:szCs w:val="24"/>
        </w:rPr>
        <w:t>no ha justificado en qué consistieron las explicaciones del banco para que el cliente comprendiese el mecanismo del swap, el riesgo de liquidaciones negativas en cuantías importantes así como el riesgo de tener que afrontar un elevado importe de cancelación en el caso de que en algún momento durante los 5 años de vigencia del producto, el mismo dejas</w:t>
      </w:r>
      <w:r w:rsidR="005845B7" w:rsidRPr="00EC5079">
        <w:rPr>
          <w:rFonts w:ascii="Times New Roman" w:hAnsi="Times New Roman" w:cs="Times New Roman"/>
          <w:sz w:val="24"/>
          <w:szCs w:val="24"/>
        </w:rPr>
        <w:t xml:space="preserve">e de protegerle, como veremos en el motivo siguiente. </w:t>
      </w:r>
    </w:p>
    <w:p w:rsidR="00416D2E" w:rsidRPr="00C94B70"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center"/>
        <w:rPr>
          <w:rFonts w:ascii="Times New Roman" w:hAnsi="Times New Roman" w:cs="Times New Roman"/>
          <w:b/>
          <w:sz w:val="24"/>
          <w:szCs w:val="24"/>
        </w:rPr>
      </w:pPr>
      <w:r w:rsidRPr="00C94B70">
        <w:rPr>
          <w:rFonts w:ascii="Times New Roman" w:hAnsi="Times New Roman" w:cs="Times New Roman"/>
          <w:b/>
          <w:sz w:val="24"/>
          <w:szCs w:val="24"/>
        </w:rPr>
        <w:t xml:space="preserve">TERCER MOTIVO. INFRACCION DE LA JURISPRUDENCIA SOBRE EL ERROR VICIO EN LOS CONTRATOS “SWAP” Y LOS DEBERES DE INFORMACION. INFRACCION DE LOS ARTS. 1265 Y 1266 </w:t>
      </w:r>
      <w:r w:rsidR="005845B7" w:rsidRPr="00C94B70">
        <w:rPr>
          <w:rFonts w:ascii="Times New Roman" w:hAnsi="Times New Roman" w:cs="Times New Roman"/>
          <w:b/>
          <w:sz w:val="24"/>
          <w:szCs w:val="24"/>
        </w:rPr>
        <w:t xml:space="preserve">CC EN RELACION CON LOS ARTS. 79 </w:t>
      </w:r>
      <w:r w:rsidRPr="00C94B70">
        <w:rPr>
          <w:rFonts w:ascii="Times New Roman" w:hAnsi="Times New Roman" w:cs="Times New Roman"/>
          <w:b/>
          <w:sz w:val="24"/>
          <w:szCs w:val="24"/>
        </w:rPr>
        <w:t>BIS</w:t>
      </w:r>
      <w:r w:rsidR="005845B7" w:rsidRPr="00C94B70">
        <w:rPr>
          <w:rFonts w:ascii="Times New Roman" w:hAnsi="Times New Roman" w:cs="Times New Roman"/>
          <w:b/>
          <w:sz w:val="24"/>
          <w:szCs w:val="24"/>
        </w:rPr>
        <w:t xml:space="preserve"> 1, 2, 3, 4 y 5</w:t>
      </w:r>
      <w:r w:rsidRPr="00C94B70">
        <w:rPr>
          <w:rFonts w:ascii="Times New Roman" w:hAnsi="Times New Roman" w:cs="Times New Roman"/>
          <w:b/>
          <w:sz w:val="24"/>
          <w:szCs w:val="24"/>
        </w:rPr>
        <w:t xml:space="preserve"> LMV Y 64 RD 217/2008.  </w:t>
      </w:r>
    </w:p>
    <w:p w:rsidR="00416D2E" w:rsidRPr="00EC5079" w:rsidRDefault="00416D2E" w:rsidP="00416D2E">
      <w:pPr>
        <w:pStyle w:val="Prrafodelista"/>
        <w:numPr>
          <w:ilvl w:val="0"/>
          <w:numId w:val="37"/>
        </w:numPr>
        <w:tabs>
          <w:tab w:val="left" w:pos="142"/>
          <w:tab w:val="left" w:pos="567"/>
          <w:tab w:val="left" w:pos="709"/>
          <w:tab w:val="left" w:pos="851"/>
          <w:tab w:val="left" w:pos="1134"/>
          <w:tab w:val="left" w:pos="1418"/>
        </w:tabs>
        <w:spacing w:before="100" w:beforeAutospacing="1" w:after="100" w:afterAutospacing="1" w:line="360" w:lineRule="auto"/>
        <w:jc w:val="both"/>
      </w:pPr>
      <w:r w:rsidRPr="00EC5079">
        <w:rPr>
          <w:b/>
        </w:rPr>
        <w:t>ENCABEZAMIENTO</w:t>
      </w:r>
      <w:r w:rsidRPr="00EC5079">
        <w:t xml:space="preserve">. </w:t>
      </w:r>
    </w:p>
    <w:p w:rsidR="0025754E" w:rsidRPr="00EC5079" w:rsidRDefault="005845B7" w:rsidP="00416D2E">
      <w:pPr>
        <w:tabs>
          <w:tab w:val="left" w:pos="142"/>
          <w:tab w:val="left" w:pos="567"/>
          <w:tab w:val="left" w:pos="709"/>
          <w:tab w:val="left" w:pos="851"/>
          <w:tab w:val="left" w:pos="1134"/>
          <w:tab w:val="left" w:pos="1418"/>
        </w:tabs>
        <w:spacing w:before="100" w:beforeAutospacing="1" w:after="100" w:afterAutospacing="1" w:line="360" w:lineRule="auto"/>
        <w:ind w:left="135"/>
        <w:jc w:val="both"/>
        <w:rPr>
          <w:rFonts w:ascii="Times New Roman" w:hAnsi="Times New Roman" w:cs="Times New Roman"/>
          <w:sz w:val="24"/>
          <w:szCs w:val="24"/>
        </w:rPr>
      </w:pPr>
      <w:r w:rsidRPr="00EC5079">
        <w:rPr>
          <w:rFonts w:ascii="Times New Roman" w:hAnsi="Times New Roman" w:cs="Times New Roman"/>
          <w:sz w:val="24"/>
          <w:szCs w:val="24"/>
        </w:rPr>
        <w:t>Aun cuando la sentencia que recurrimos</w:t>
      </w:r>
      <w:r w:rsidR="0025754E" w:rsidRPr="00EC5079">
        <w:rPr>
          <w:rFonts w:ascii="Times New Roman" w:hAnsi="Times New Roman" w:cs="Times New Roman"/>
          <w:sz w:val="24"/>
          <w:szCs w:val="24"/>
        </w:rPr>
        <w:t xml:space="preserve"> mantiene que la reforma MIFID de la LMV no era de aplicación, sí resume la normativa anterior en el sentido de serle exigible a la entidad bancaria el deber de suministrar a sus clientes, información clara sobre el producto de inversión, haciendo hincapié en los riesgos y asegurándose antes de la </w:t>
      </w:r>
      <w:r w:rsidR="0025754E" w:rsidRPr="00EC5079">
        <w:rPr>
          <w:rFonts w:ascii="Times New Roman" w:hAnsi="Times New Roman" w:cs="Times New Roman"/>
          <w:sz w:val="24"/>
          <w:szCs w:val="24"/>
        </w:rPr>
        <w:lastRenderedPageBreak/>
        <w:t xml:space="preserve">contratación de que sus clientes eran conscientes de que en determinados escenarios de tipos de interés, las liquidaciones del producto financiero podrían ser negativas en cuantías elevadas. </w:t>
      </w:r>
    </w:p>
    <w:p w:rsidR="0025754E" w:rsidRPr="00EC5079" w:rsidRDefault="0025754E" w:rsidP="005845B7">
      <w:pPr>
        <w:tabs>
          <w:tab w:val="left" w:pos="142"/>
          <w:tab w:val="left" w:pos="567"/>
          <w:tab w:val="left" w:pos="709"/>
          <w:tab w:val="left" w:pos="851"/>
          <w:tab w:val="left" w:pos="1134"/>
          <w:tab w:val="left" w:pos="1418"/>
        </w:tabs>
        <w:spacing w:before="100" w:beforeAutospacing="1" w:after="100" w:afterAutospacing="1" w:line="360" w:lineRule="auto"/>
        <w:ind w:left="135"/>
        <w:jc w:val="both"/>
        <w:rPr>
          <w:rFonts w:ascii="Times New Roman" w:hAnsi="Times New Roman" w:cs="Times New Roman"/>
          <w:sz w:val="24"/>
          <w:szCs w:val="24"/>
        </w:rPr>
      </w:pPr>
      <w:r w:rsidRPr="00EC5079">
        <w:rPr>
          <w:rFonts w:ascii="Times New Roman" w:hAnsi="Times New Roman" w:cs="Times New Roman"/>
          <w:sz w:val="24"/>
          <w:szCs w:val="24"/>
        </w:rPr>
        <w:t xml:space="preserve">Sin embargo, </w:t>
      </w:r>
      <w:r w:rsidR="005845B7" w:rsidRPr="00EC5079">
        <w:rPr>
          <w:rFonts w:ascii="Times New Roman" w:hAnsi="Times New Roman" w:cs="Times New Roman"/>
          <w:sz w:val="24"/>
          <w:szCs w:val="24"/>
        </w:rPr>
        <w:t xml:space="preserve"> sorprendentemente no sigue la argumentación anterior y no </w:t>
      </w:r>
      <w:r w:rsidRPr="00EC5079">
        <w:rPr>
          <w:rFonts w:ascii="Times New Roman" w:hAnsi="Times New Roman" w:cs="Times New Roman"/>
          <w:sz w:val="24"/>
          <w:szCs w:val="24"/>
        </w:rPr>
        <w:t>justifica</w:t>
      </w:r>
      <w:r w:rsidR="005845B7" w:rsidRPr="00EC5079">
        <w:rPr>
          <w:rFonts w:ascii="Times New Roman" w:hAnsi="Times New Roman" w:cs="Times New Roman"/>
          <w:sz w:val="24"/>
          <w:szCs w:val="24"/>
        </w:rPr>
        <w:t xml:space="preserve"> en qué medida Banco Santander ha</w:t>
      </w:r>
      <w:r w:rsidRPr="00EC5079">
        <w:rPr>
          <w:rFonts w:ascii="Times New Roman" w:hAnsi="Times New Roman" w:cs="Times New Roman"/>
          <w:sz w:val="24"/>
          <w:szCs w:val="24"/>
        </w:rPr>
        <w:t xml:space="preserve"> cumplido en el caso concreto</w:t>
      </w:r>
      <w:r w:rsidR="005845B7" w:rsidRPr="00EC5079">
        <w:rPr>
          <w:rFonts w:ascii="Times New Roman" w:hAnsi="Times New Roman" w:cs="Times New Roman"/>
          <w:sz w:val="24"/>
          <w:szCs w:val="24"/>
        </w:rPr>
        <w:t xml:space="preserve"> </w:t>
      </w:r>
      <w:r w:rsidRPr="00EC5079">
        <w:rPr>
          <w:rFonts w:ascii="Times New Roman" w:hAnsi="Times New Roman" w:cs="Times New Roman"/>
          <w:sz w:val="24"/>
          <w:szCs w:val="24"/>
        </w:rPr>
        <w:t xml:space="preserve">con las obligaciones anteriores informando a la empresa recurrente de la posibilidad de incurrir en liquidaciones negativas importantes o de que cancelar el producto podría suponerle un </w:t>
      </w:r>
      <w:r w:rsidR="008D3EAA" w:rsidRPr="00EC5079">
        <w:rPr>
          <w:rFonts w:ascii="Times New Roman" w:hAnsi="Times New Roman" w:cs="Times New Roman"/>
          <w:sz w:val="24"/>
          <w:szCs w:val="24"/>
        </w:rPr>
        <w:t>elevado</w:t>
      </w:r>
      <w:r w:rsidR="005845B7" w:rsidRPr="00EC5079">
        <w:rPr>
          <w:rFonts w:ascii="Times New Roman" w:hAnsi="Times New Roman" w:cs="Times New Roman"/>
          <w:sz w:val="24"/>
          <w:szCs w:val="24"/>
        </w:rPr>
        <w:t xml:space="preserve"> desembolso económico, y simplemente concluye que la empresa era consciente de la aleatoriedad del resultado de la inversión “</w:t>
      </w:r>
      <w:r w:rsidR="005845B7" w:rsidRPr="00EC5079">
        <w:rPr>
          <w:rFonts w:ascii="Times New Roman" w:hAnsi="Times New Roman" w:cs="Times New Roman"/>
          <w:i/>
          <w:sz w:val="24"/>
          <w:szCs w:val="24"/>
        </w:rPr>
        <w:t>porque se lo explicaron</w:t>
      </w:r>
      <w:r w:rsidR="005845B7" w:rsidRPr="00EC5079">
        <w:rPr>
          <w:rFonts w:ascii="Times New Roman" w:hAnsi="Times New Roman" w:cs="Times New Roman"/>
          <w:sz w:val="24"/>
          <w:szCs w:val="24"/>
        </w:rPr>
        <w:t xml:space="preserve">”, exigiendo a la empresa la diligencia de </w:t>
      </w:r>
      <w:r w:rsidRPr="00EC5079">
        <w:rPr>
          <w:rFonts w:ascii="Times New Roman" w:hAnsi="Times New Roman" w:cs="Times New Roman"/>
          <w:sz w:val="24"/>
          <w:szCs w:val="24"/>
        </w:rPr>
        <w:t>intentar despejar cualquier duda sobre el riesgo del producto preguntando al empleado del ba</w:t>
      </w:r>
      <w:r w:rsidR="008D3EAA" w:rsidRPr="00EC5079">
        <w:rPr>
          <w:rFonts w:ascii="Times New Roman" w:hAnsi="Times New Roman" w:cs="Times New Roman"/>
          <w:sz w:val="24"/>
          <w:szCs w:val="24"/>
        </w:rPr>
        <w:t>n</w:t>
      </w:r>
      <w:r w:rsidRPr="00EC5079">
        <w:rPr>
          <w:rFonts w:ascii="Times New Roman" w:hAnsi="Times New Roman" w:cs="Times New Roman"/>
          <w:sz w:val="24"/>
          <w:szCs w:val="24"/>
        </w:rPr>
        <w:t>co o acudiendo a un “</w:t>
      </w:r>
      <w:r w:rsidRPr="00EC5079">
        <w:rPr>
          <w:rFonts w:ascii="Times New Roman" w:hAnsi="Times New Roman" w:cs="Times New Roman"/>
          <w:i/>
          <w:sz w:val="24"/>
          <w:szCs w:val="24"/>
        </w:rPr>
        <w:t>buen asesoramiento</w:t>
      </w:r>
      <w:r w:rsidRPr="00EC5079">
        <w:rPr>
          <w:rFonts w:ascii="Times New Roman" w:hAnsi="Times New Roman" w:cs="Times New Roman"/>
          <w:sz w:val="24"/>
          <w:szCs w:val="24"/>
        </w:rPr>
        <w:t>” y valorando en la ratio deciden</w:t>
      </w:r>
      <w:r w:rsidR="008D3EAA" w:rsidRPr="00EC5079">
        <w:rPr>
          <w:rFonts w:ascii="Times New Roman" w:hAnsi="Times New Roman" w:cs="Times New Roman"/>
          <w:sz w:val="24"/>
          <w:szCs w:val="24"/>
        </w:rPr>
        <w:t>d</w:t>
      </w:r>
      <w:r w:rsidRPr="00EC5079">
        <w:rPr>
          <w:rFonts w:ascii="Times New Roman" w:hAnsi="Times New Roman" w:cs="Times New Roman"/>
          <w:sz w:val="24"/>
          <w:szCs w:val="24"/>
        </w:rPr>
        <w:t>i como “</w:t>
      </w:r>
      <w:r w:rsidRPr="00EC5079">
        <w:rPr>
          <w:rFonts w:ascii="Times New Roman" w:hAnsi="Times New Roman" w:cs="Times New Roman"/>
          <w:i/>
          <w:sz w:val="24"/>
          <w:szCs w:val="24"/>
        </w:rPr>
        <w:t>significativa</w:t>
      </w:r>
      <w:r w:rsidRPr="00EC5079">
        <w:rPr>
          <w:rFonts w:ascii="Times New Roman" w:hAnsi="Times New Roman" w:cs="Times New Roman"/>
          <w:sz w:val="24"/>
          <w:szCs w:val="24"/>
        </w:rPr>
        <w:t xml:space="preserve">” la omisión de queja alguna por parte de la entidad durante el tiempo en que las liquidaciones fueron </w:t>
      </w:r>
      <w:r w:rsidR="008D3EAA" w:rsidRPr="00EC5079">
        <w:rPr>
          <w:rFonts w:ascii="Times New Roman" w:hAnsi="Times New Roman" w:cs="Times New Roman"/>
          <w:sz w:val="24"/>
          <w:szCs w:val="24"/>
        </w:rPr>
        <w:t>positivas</w:t>
      </w:r>
      <w:r w:rsidRPr="00EC5079">
        <w:rPr>
          <w:rFonts w:ascii="Times New Roman" w:hAnsi="Times New Roman" w:cs="Times New Roman"/>
          <w:sz w:val="24"/>
          <w:szCs w:val="24"/>
        </w:rPr>
        <w:t xml:space="preserve">.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ind w:left="135"/>
        <w:jc w:val="both"/>
        <w:rPr>
          <w:rFonts w:ascii="Times New Roman" w:hAnsi="Times New Roman" w:cs="Times New Roman"/>
          <w:sz w:val="24"/>
          <w:szCs w:val="24"/>
        </w:rPr>
      </w:pPr>
      <w:r w:rsidRPr="00EC5079">
        <w:rPr>
          <w:rFonts w:ascii="Times New Roman" w:hAnsi="Times New Roman" w:cs="Times New Roman"/>
          <w:sz w:val="24"/>
          <w:szCs w:val="24"/>
        </w:rPr>
        <w:t>Consideramos que</w:t>
      </w:r>
      <w:r w:rsidR="005845B7" w:rsidRPr="00EC5079">
        <w:rPr>
          <w:rFonts w:ascii="Times New Roman" w:hAnsi="Times New Roman" w:cs="Times New Roman"/>
          <w:sz w:val="24"/>
          <w:szCs w:val="24"/>
        </w:rPr>
        <w:t xml:space="preserve"> existe interés casacional porque la anterior </w:t>
      </w:r>
      <w:r w:rsidR="005845B7" w:rsidRPr="00EC5079">
        <w:rPr>
          <w:rFonts w:ascii="Times New Roman" w:hAnsi="Times New Roman" w:cs="Times New Roman"/>
          <w:i/>
          <w:sz w:val="24"/>
          <w:szCs w:val="24"/>
        </w:rPr>
        <w:t>ratio decidendi</w:t>
      </w:r>
      <w:r w:rsidR="005845B7" w:rsidRPr="00EC5079">
        <w:rPr>
          <w:rFonts w:ascii="Times New Roman" w:hAnsi="Times New Roman" w:cs="Times New Roman"/>
          <w:sz w:val="24"/>
          <w:szCs w:val="24"/>
        </w:rPr>
        <w:t xml:space="preserve"> i</w:t>
      </w:r>
      <w:r w:rsidRPr="00EC5079">
        <w:rPr>
          <w:rFonts w:ascii="Times New Roman" w:hAnsi="Times New Roman" w:cs="Times New Roman"/>
          <w:sz w:val="24"/>
          <w:szCs w:val="24"/>
        </w:rPr>
        <w:t xml:space="preserve">nfringe lo dispuesto,  entre otras muchas, en las </w:t>
      </w:r>
      <w:r w:rsidRPr="00EC5079">
        <w:rPr>
          <w:rFonts w:ascii="Times New Roman" w:hAnsi="Times New Roman" w:cs="Times New Roman"/>
          <w:b/>
          <w:sz w:val="24"/>
          <w:szCs w:val="24"/>
        </w:rPr>
        <w:t xml:space="preserve">sentencias del Pleno del TS 491/2015 de 15 de septiembre  y 840/2013 de 20 de enero de 2014, </w:t>
      </w:r>
      <w:r w:rsidRPr="00EC5079">
        <w:rPr>
          <w:rFonts w:ascii="Times New Roman" w:hAnsi="Times New Roman" w:cs="Times New Roman"/>
          <w:sz w:val="24"/>
          <w:szCs w:val="24"/>
        </w:rPr>
        <w:t>que interpretan los</w:t>
      </w:r>
      <w:r w:rsidRPr="00EC5079">
        <w:rPr>
          <w:rFonts w:ascii="Times New Roman" w:hAnsi="Times New Roman" w:cs="Times New Roman"/>
          <w:b/>
          <w:sz w:val="24"/>
          <w:szCs w:val="24"/>
        </w:rPr>
        <w:t xml:space="preserve"> </w:t>
      </w:r>
      <w:r w:rsidRPr="00EC5079">
        <w:rPr>
          <w:rFonts w:ascii="Times New Roman" w:hAnsi="Times New Roman" w:cs="Times New Roman"/>
          <w:sz w:val="24"/>
          <w:szCs w:val="24"/>
        </w:rPr>
        <w:t xml:space="preserve">arts. arts. 1265 y 1266 del Código Civil , en relación con el art. 79 bis 3 , 4 LMV, según redacción dada por la Ley 47/2007; </w:t>
      </w:r>
      <w:r w:rsidR="008D3EAA" w:rsidRPr="00EC5079">
        <w:rPr>
          <w:rFonts w:ascii="Times New Roman" w:hAnsi="Times New Roman" w:cs="Times New Roman"/>
          <w:sz w:val="24"/>
          <w:szCs w:val="24"/>
        </w:rPr>
        <w:t>el art. 64</w:t>
      </w:r>
      <w:r w:rsidRPr="00EC5079">
        <w:rPr>
          <w:rFonts w:ascii="Times New Roman" w:hAnsi="Times New Roman" w:cs="Times New Roman"/>
          <w:sz w:val="24"/>
          <w:szCs w:val="24"/>
        </w:rPr>
        <w:t xml:space="preserve"> del RD 217/2008 de 15 de febrero, consistiendo el interés casacional en la oposición a la doctrina por la cual la excusabilidad del error está en relación directa con el cumplimiento o no de los deberes de in</w:t>
      </w:r>
      <w:r w:rsidR="008D3EAA" w:rsidRPr="00EC5079">
        <w:rPr>
          <w:rFonts w:ascii="Times New Roman" w:hAnsi="Times New Roman" w:cs="Times New Roman"/>
          <w:sz w:val="24"/>
          <w:szCs w:val="24"/>
        </w:rPr>
        <w:t xml:space="preserve">formación previa y contractual </w:t>
      </w:r>
      <w:r w:rsidRPr="00EC5079">
        <w:rPr>
          <w:rFonts w:ascii="Times New Roman" w:hAnsi="Times New Roman" w:cs="Times New Roman"/>
          <w:sz w:val="24"/>
          <w:szCs w:val="24"/>
        </w:rPr>
        <w:t xml:space="preserve">sin que el error padecido pueda ser imputable a una falta de diligencia de la empresa, minorista, por no pedir mayores explicaciones.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ind w:left="135"/>
        <w:jc w:val="both"/>
        <w:rPr>
          <w:rFonts w:ascii="Times New Roman" w:hAnsi="Times New Roman" w:cs="Times New Roman"/>
          <w:sz w:val="24"/>
          <w:szCs w:val="24"/>
        </w:rPr>
      </w:pPr>
      <w:r w:rsidRPr="00EC5079">
        <w:rPr>
          <w:rFonts w:ascii="Times New Roman" w:hAnsi="Times New Roman" w:cs="Times New Roman"/>
          <w:sz w:val="24"/>
          <w:szCs w:val="24"/>
        </w:rPr>
        <w:t xml:space="preserve">Además, en el contrato que nos ocupa no existió liquidación positiva alguna, por lo que no cabe valorar la conducta de mis representados como contraria a sus actos. </w:t>
      </w:r>
    </w:p>
    <w:p w:rsidR="00416D2E" w:rsidRPr="00EC5079" w:rsidRDefault="00416D2E" w:rsidP="00416D2E">
      <w:pPr>
        <w:pStyle w:val="Prrafodelista"/>
        <w:numPr>
          <w:ilvl w:val="0"/>
          <w:numId w:val="37"/>
        </w:numPr>
        <w:tabs>
          <w:tab w:val="left" w:pos="142"/>
          <w:tab w:val="left" w:pos="567"/>
          <w:tab w:val="left" w:pos="709"/>
          <w:tab w:val="left" w:pos="851"/>
          <w:tab w:val="left" w:pos="1134"/>
          <w:tab w:val="left" w:pos="1418"/>
        </w:tabs>
        <w:spacing w:before="100" w:beforeAutospacing="1" w:after="100" w:afterAutospacing="1" w:line="360" w:lineRule="auto"/>
        <w:jc w:val="both"/>
        <w:rPr>
          <w:b/>
        </w:rPr>
      </w:pPr>
      <w:r w:rsidRPr="00EC5079">
        <w:rPr>
          <w:b/>
        </w:rPr>
        <w:t xml:space="preserve">DESARROLLO DEL MOTIVO.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Partiendo, de la plena aplicabilidad del art. 79 bis LMV y el articulo 64 del RD 217/2008 de 15 de febrero, que regulan los deberes de información a cargo de la entidad bancaria que presta servicios de inversión así como la numerosísima jurisprudencia que sobre estos contratos ha ido sentando el TS, debemos concluir el indudable interés casacional por </w:t>
      </w:r>
      <w:r w:rsidRPr="00EC5079">
        <w:rPr>
          <w:rFonts w:ascii="Times New Roman" w:hAnsi="Times New Roman" w:cs="Times New Roman"/>
          <w:sz w:val="24"/>
          <w:szCs w:val="24"/>
        </w:rPr>
        <w:lastRenderedPageBreak/>
        <w:t xml:space="preserve">apartarse, la sentencia que recurrimos, de dichas normas y jurisprudencia en la justificación de los requisitos para la existencia del error vicio. </w:t>
      </w:r>
    </w:p>
    <w:p w:rsidR="002E5229" w:rsidRPr="00EC5079" w:rsidRDefault="004C3F7A"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En el caso que nos ocupa, la sentencia tendría que haber presumido la existencia del error vicio por</w:t>
      </w:r>
      <w:r w:rsidR="002E5229" w:rsidRPr="00EC5079">
        <w:rPr>
          <w:rFonts w:ascii="Times New Roman" w:hAnsi="Times New Roman" w:cs="Times New Roman"/>
          <w:sz w:val="24"/>
          <w:szCs w:val="24"/>
        </w:rPr>
        <w:t xml:space="preserve"> tratarse de un cliente minorista y por no haberse realizado </w:t>
      </w:r>
      <w:r w:rsidR="005845B7" w:rsidRPr="00EC5079">
        <w:rPr>
          <w:rFonts w:ascii="Times New Roman" w:hAnsi="Times New Roman" w:cs="Times New Roman"/>
          <w:sz w:val="24"/>
          <w:szCs w:val="24"/>
        </w:rPr>
        <w:t>el test de idoneidad</w:t>
      </w:r>
      <w:r w:rsidR="002E5229" w:rsidRPr="00EC5079">
        <w:rPr>
          <w:rFonts w:ascii="Times New Roman" w:hAnsi="Times New Roman" w:cs="Times New Roman"/>
          <w:sz w:val="24"/>
          <w:szCs w:val="24"/>
        </w:rPr>
        <w:t xml:space="preserve">. Además,  tendría que haber exigido de Banco Santander </w:t>
      </w:r>
      <w:r w:rsidR="005845B7" w:rsidRPr="00EC5079">
        <w:rPr>
          <w:rFonts w:ascii="Times New Roman" w:hAnsi="Times New Roman" w:cs="Times New Roman"/>
          <w:sz w:val="24"/>
          <w:szCs w:val="24"/>
        </w:rPr>
        <w:t>la carga de acreditar que en el caso concreto se dieron las explicaciones</w:t>
      </w:r>
      <w:r w:rsidR="002E5229" w:rsidRPr="00EC5079">
        <w:rPr>
          <w:rFonts w:ascii="Times New Roman" w:hAnsi="Times New Roman" w:cs="Times New Roman"/>
          <w:sz w:val="24"/>
          <w:szCs w:val="24"/>
        </w:rPr>
        <w:t xml:space="preserve"> necesarias </w:t>
      </w:r>
      <w:r w:rsidR="005845B7" w:rsidRPr="00EC5079">
        <w:rPr>
          <w:rFonts w:ascii="Times New Roman" w:hAnsi="Times New Roman" w:cs="Times New Roman"/>
          <w:sz w:val="24"/>
          <w:szCs w:val="24"/>
        </w:rPr>
        <w:t xml:space="preserve">en la forma exigida por las </w:t>
      </w:r>
      <w:r w:rsidR="002E5229" w:rsidRPr="00EC5079">
        <w:rPr>
          <w:rFonts w:ascii="Times New Roman" w:hAnsi="Times New Roman" w:cs="Times New Roman"/>
          <w:sz w:val="24"/>
          <w:szCs w:val="24"/>
        </w:rPr>
        <w:t>normas con la antelación suficiente o, al menos, haber justificado que, a pesar de que no se diera  la información, no existió error vicio en el representante de la entidad porque el mismo ya dispusiera de conocimientos y experiencias en la contratación de permitas financieras.</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sz w:val="24"/>
          <w:szCs w:val="24"/>
        </w:rPr>
      </w:pPr>
      <w:r w:rsidRPr="00EC5079">
        <w:rPr>
          <w:rFonts w:ascii="Times New Roman" w:hAnsi="Times New Roman" w:cs="Times New Roman"/>
          <w:sz w:val="24"/>
          <w:szCs w:val="24"/>
        </w:rPr>
        <w:t xml:space="preserve">Como es sabido, la exigencia de información de parte de la entidad bancaria no responde exclusivamente al principio de buena fe en la contratación (art. 7 CC) sino,  además, a la complejidad de los productos financieros y la desproporción informativa existente entre el que comercializa y el que adquiere estos productos. De manera que dicha información ayuda al cliente a tomar la decisión de contratar un determinado producto.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color w:val="000000"/>
          <w:sz w:val="24"/>
          <w:szCs w:val="24"/>
        </w:rPr>
      </w:pPr>
      <w:r w:rsidRPr="00EC5079">
        <w:rPr>
          <w:rFonts w:ascii="Times New Roman" w:hAnsi="Times New Roman" w:cs="Times New Roman"/>
          <w:sz w:val="24"/>
          <w:szCs w:val="24"/>
        </w:rPr>
        <w:t xml:space="preserve">Estos deberes de información se habían plasmado normativamente </w:t>
      </w:r>
      <w:r w:rsidR="002E5229" w:rsidRPr="00EC5079">
        <w:rPr>
          <w:rFonts w:ascii="Times New Roman" w:hAnsi="Times New Roman" w:cs="Times New Roman"/>
          <w:sz w:val="24"/>
          <w:szCs w:val="24"/>
        </w:rPr>
        <w:t>en la fecha del contrato (19 de junio de 2008)</w:t>
      </w:r>
      <w:r w:rsidRPr="00EC5079">
        <w:rPr>
          <w:rFonts w:ascii="Times New Roman" w:hAnsi="Times New Roman" w:cs="Times New Roman"/>
          <w:sz w:val="24"/>
          <w:szCs w:val="24"/>
        </w:rPr>
        <w:t xml:space="preserve"> en </w:t>
      </w:r>
      <w:r w:rsidRPr="00EC5079">
        <w:rPr>
          <w:rFonts w:ascii="Times New Roman" w:eastAsiaTheme="minorHAnsi" w:hAnsi="Times New Roman" w:cs="Times New Roman"/>
          <w:color w:val="000000"/>
          <w:sz w:val="24"/>
          <w:szCs w:val="24"/>
        </w:rPr>
        <w:t xml:space="preserve">los actuales arts. </w:t>
      </w:r>
      <w:r w:rsidR="008D3EAA" w:rsidRPr="00EC5079">
        <w:rPr>
          <w:rFonts w:ascii="Times New Roman" w:eastAsiaTheme="minorHAnsi" w:hAnsi="Times New Roman" w:cs="Times New Roman"/>
          <w:color w:val="000000"/>
          <w:sz w:val="24"/>
          <w:szCs w:val="24"/>
        </w:rPr>
        <w:t>79 bis</w:t>
      </w:r>
      <w:r w:rsidRPr="00EC5079">
        <w:rPr>
          <w:rFonts w:ascii="Times New Roman" w:eastAsiaTheme="minorHAnsi" w:hAnsi="Times New Roman" w:cs="Times New Roman"/>
          <w:color w:val="000000"/>
          <w:sz w:val="24"/>
          <w:szCs w:val="24"/>
        </w:rPr>
        <w:t xml:space="preserve"> de la Ley 24/1988, de 28 de julio, del Mercado de Valores. También había entrado en vigor el RD 217/2008, de 15 de febrero, sobre el régimen jurídico de las empresas de servicios de inversión, que desarrolla esta regulación.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color w:val="000000"/>
          <w:sz w:val="24"/>
          <w:szCs w:val="24"/>
        </w:rPr>
      </w:pPr>
      <w:r w:rsidRPr="00EC5079">
        <w:rPr>
          <w:rFonts w:ascii="Times New Roman" w:eastAsiaTheme="minorHAnsi" w:hAnsi="Times New Roman" w:cs="Times New Roman"/>
          <w:color w:val="000000"/>
          <w:sz w:val="24"/>
          <w:szCs w:val="24"/>
        </w:rPr>
        <w:t>Sin querer reproducir nuevamente el contenido de dichos artículos, que constan plasmados reiteradamente en nuestro escrito de demanda y de recurso de apelación, básicamente diremos que dicha información reviste un carácter, que podríamos llamar “</w:t>
      </w:r>
      <w:r w:rsidRPr="00EC5079">
        <w:rPr>
          <w:rFonts w:ascii="Times New Roman" w:eastAsiaTheme="minorHAnsi" w:hAnsi="Times New Roman" w:cs="Times New Roman"/>
          <w:i/>
          <w:color w:val="000000"/>
          <w:sz w:val="24"/>
          <w:szCs w:val="24"/>
        </w:rPr>
        <w:t>bidireccional</w:t>
      </w:r>
      <w:r w:rsidRPr="00EC5079">
        <w:rPr>
          <w:rFonts w:ascii="Times New Roman" w:eastAsiaTheme="minorHAnsi" w:hAnsi="Times New Roman" w:cs="Times New Roman"/>
          <w:color w:val="000000"/>
          <w:sz w:val="24"/>
          <w:szCs w:val="24"/>
        </w:rPr>
        <w:t xml:space="preserve">”: </w:t>
      </w:r>
      <w:r w:rsidRPr="00EC5079">
        <w:rPr>
          <w:rFonts w:ascii="Times New Roman" w:eastAsiaTheme="minorHAnsi" w:hAnsi="Times New Roman" w:cs="Times New Roman"/>
          <w:color w:val="000000"/>
          <w:sz w:val="24"/>
          <w:szCs w:val="24"/>
          <w:u w:val="single"/>
        </w:rPr>
        <w:t>información “</w:t>
      </w:r>
      <w:r w:rsidRPr="00EC5079">
        <w:rPr>
          <w:rFonts w:ascii="Times New Roman" w:eastAsiaTheme="minorHAnsi" w:hAnsi="Times New Roman" w:cs="Times New Roman"/>
          <w:b/>
          <w:color w:val="000000"/>
          <w:sz w:val="24"/>
          <w:szCs w:val="24"/>
          <w:u w:val="single"/>
        </w:rPr>
        <w:t>del cliente</w:t>
      </w:r>
      <w:r w:rsidRPr="00EC5079">
        <w:rPr>
          <w:rFonts w:ascii="Times New Roman" w:eastAsiaTheme="minorHAnsi" w:hAnsi="Times New Roman" w:cs="Times New Roman"/>
          <w:color w:val="000000"/>
          <w:sz w:val="24"/>
          <w:szCs w:val="24"/>
        </w:rPr>
        <w:t>” (</w:t>
      </w:r>
      <w:r w:rsidRPr="00EC5079">
        <w:rPr>
          <w:rFonts w:ascii="Times New Roman" w:eastAsiaTheme="minorHAnsi" w:hAnsi="Times New Roman" w:cs="Times New Roman"/>
          <w:i/>
          <w:color w:val="000000"/>
          <w:sz w:val="24"/>
          <w:szCs w:val="24"/>
        </w:rPr>
        <w:t>art. 72 RD 217/2008</w:t>
      </w:r>
      <w:r w:rsidRPr="00EC5079">
        <w:rPr>
          <w:rFonts w:ascii="Times New Roman" w:eastAsiaTheme="minorHAnsi" w:hAnsi="Times New Roman" w:cs="Times New Roman"/>
          <w:color w:val="000000"/>
          <w:sz w:val="24"/>
          <w:szCs w:val="24"/>
        </w:rPr>
        <w:t xml:space="preserve">), en relación a sus conocimientos, experiencias, situación financiera y objetivo de inversión; e </w:t>
      </w:r>
      <w:r w:rsidRPr="00EC5079">
        <w:rPr>
          <w:rFonts w:ascii="Times New Roman" w:eastAsiaTheme="minorHAnsi" w:hAnsi="Times New Roman" w:cs="Times New Roman"/>
          <w:color w:val="000000"/>
          <w:sz w:val="24"/>
          <w:szCs w:val="24"/>
          <w:u w:val="single"/>
        </w:rPr>
        <w:t>información “</w:t>
      </w:r>
      <w:r w:rsidRPr="00EC5079">
        <w:rPr>
          <w:rFonts w:ascii="Times New Roman" w:eastAsiaTheme="minorHAnsi" w:hAnsi="Times New Roman" w:cs="Times New Roman"/>
          <w:b/>
          <w:color w:val="000000"/>
          <w:sz w:val="24"/>
          <w:szCs w:val="24"/>
          <w:u w:val="single"/>
        </w:rPr>
        <w:t>al cliente</w:t>
      </w:r>
      <w:r w:rsidRPr="00EC5079">
        <w:rPr>
          <w:rFonts w:ascii="Times New Roman" w:eastAsiaTheme="minorHAnsi" w:hAnsi="Times New Roman" w:cs="Times New Roman"/>
          <w:color w:val="000000"/>
          <w:sz w:val="24"/>
          <w:szCs w:val="24"/>
        </w:rPr>
        <w:t>” (</w:t>
      </w:r>
      <w:r w:rsidRPr="00EC5079">
        <w:rPr>
          <w:rFonts w:ascii="Times New Roman" w:eastAsiaTheme="minorHAnsi" w:hAnsi="Times New Roman" w:cs="Times New Roman"/>
          <w:i/>
          <w:color w:val="000000"/>
          <w:sz w:val="24"/>
          <w:szCs w:val="24"/>
        </w:rPr>
        <w:t>art. 64 RD 217/2008</w:t>
      </w:r>
      <w:r w:rsidRPr="00EC5079">
        <w:rPr>
          <w:rFonts w:ascii="Times New Roman" w:eastAsiaTheme="minorHAnsi" w:hAnsi="Times New Roman" w:cs="Times New Roman"/>
          <w:color w:val="000000"/>
          <w:sz w:val="24"/>
          <w:szCs w:val="24"/>
        </w:rPr>
        <w:t xml:space="preserve">) adaptada a esos conocimientos, experiencias, situación financiera y objetivos. </w:t>
      </w:r>
    </w:p>
    <w:p w:rsidR="00416D2E" w:rsidRPr="00EC5079" w:rsidRDefault="00416D2E" w:rsidP="00416D2E">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En el caso que nos ocupa, aceptando como hechos acreditados en la instancia: </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Que la mercantil recurrente en casación es una empresa que se dedica a la hostelería (</w:t>
      </w:r>
      <w:r w:rsidRPr="00EC5079">
        <w:rPr>
          <w:rFonts w:eastAsiaTheme="minorHAnsi"/>
          <w:i/>
          <w:iCs/>
          <w:color w:val="000000"/>
        </w:rPr>
        <w:t>explotación de un “chiringuito” de playa en Torremolinos, Málaga</w:t>
      </w:r>
      <w:r w:rsidRPr="00EC5079">
        <w:rPr>
          <w:rFonts w:eastAsiaTheme="minorHAnsi"/>
          <w:iCs/>
          <w:color w:val="000000"/>
        </w:rPr>
        <w:t>).</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lastRenderedPageBreak/>
        <w:t xml:space="preserve">Que su administrador lo era también de otras dos sociedades igualmente dedicadas al mismo objeto social. </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 xml:space="preserve">Se trata de una empresa minorista. Banco Santander alega que tiene un volumen de negocio de 469.051,61€, cifra que está muy lejos de los </w:t>
      </w:r>
      <w:r w:rsidRPr="00EC5079">
        <w:t xml:space="preserve">40 millones de euros que exige, entre otros requisitos,  el art. 78 bis. 3 de la LMV para ser considerado profesional.  </w:t>
      </w:r>
    </w:p>
    <w:p w:rsidR="002E5229" w:rsidRPr="00EC5079" w:rsidRDefault="002E5229"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Que Banco Santander no obtuvo ningún tipo de información previa “</w:t>
      </w:r>
      <w:r w:rsidRPr="00EC5079">
        <w:rPr>
          <w:rFonts w:eastAsiaTheme="minorHAnsi"/>
          <w:b/>
          <w:iCs/>
          <w:color w:val="000000"/>
        </w:rPr>
        <w:t>del cliente</w:t>
      </w:r>
      <w:r w:rsidRPr="00EC5079">
        <w:rPr>
          <w:rFonts w:eastAsiaTheme="minorHAnsi"/>
          <w:iCs/>
          <w:color w:val="000000"/>
        </w:rPr>
        <w:t xml:space="preserve">” por cuanto no se le sometió a test de idoneidad. </w:t>
      </w:r>
    </w:p>
    <w:p w:rsidR="00416D2E" w:rsidRPr="00EC5079" w:rsidRDefault="002E5229" w:rsidP="002E5229">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Que Banco Santander tampoco dio ningún tipo de información previa “</w:t>
      </w:r>
      <w:r w:rsidRPr="00EC5079">
        <w:rPr>
          <w:rFonts w:eastAsiaTheme="minorHAnsi"/>
          <w:b/>
          <w:iCs/>
          <w:color w:val="000000"/>
        </w:rPr>
        <w:t xml:space="preserve">al cliente” </w:t>
      </w:r>
      <w:r w:rsidRPr="00EC5079">
        <w:rPr>
          <w:rFonts w:eastAsiaTheme="minorHAnsi"/>
          <w:iCs/>
          <w:color w:val="000000"/>
        </w:rPr>
        <w:t xml:space="preserve">dado que no existe documentación anterior </w:t>
      </w:r>
      <w:r w:rsidR="00416D2E" w:rsidRPr="00EC5079">
        <w:rPr>
          <w:rFonts w:eastAsiaTheme="minorHAnsi"/>
          <w:iCs/>
          <w:color w:val="000000"/>
        </w:rPr>
        <w:t>ni a la firma del Contrato Marco de Operaciones Financieras</w:t>
      </w:r>
      <w:r w:rsidR="00446496" w:rsidRPr="00EC5079">
        <w:rPr>
          <w:rFonts w:eastAsiaTheme="minorHAnsi"/>
          <w:iCs/>
          <w:color w:val="000000"/>
        </w:rPr>
        <w:t xml:space="preserve">, CMOF, </w:t>
      </w:r>
      <w:r w:rsidR="00416D2E" w:rsidRPr="00EC5079">
        <w:rPr>
          <w:rFonts w:eastAsiaTheme="minorHAnsi"/>
          <w:iCs/>
          <w:color w:val="000000"/>
        </w:rPr>
        <w:t xml:space="preserve"> (</w:t>
      </w:r>
      <w:r w:rsidR="00416D2E" w:rsidRPr="00EC5079">
        <w:rPr>
          <w:rFonts w:eastAsiaTheme="minorHAnsi"/>
          <w:i/>
          <w:iCs/>
          <w:color w:val="000000"/>
        </w:rPr>
        <w:t>Documento núm. 7 de la contestación</w:t>
      </w:r>
      <w:r w:rsidR="00416D2E" w:rsidRPr="00EC5079">
        <w:rPr>
          <w:rFonts w:eastAsiaTheme="minorHAnsi"/>
          <w:iCs/>
          <w:color w:val="000000"/>
        </w:rPr>
        <w:t>) y ni a la firma de la confirmación del swap (</w:t>
      </w:r>
      <w:r w:rsidR="00416D2E" w:rsidRPr="00EC5079">
        <w:rPr>
          <w:rFonts w:eastAsiaTheme="minorHAnsi"/>
          <w:i/>
          <w:iCs/>
          <w:color w:val="000000"/>
        </w:rPr>
        <w:t>Documento núm.. 1 de la demanda</w:t>
      </w:r>
      <w:r w:rsidR="00416D2E" w:rsidRPr="00EC5079">
        <w:rPr>
          <w:rFonts w:eastAsiaTheme="minorHAnsi"/>
          <w:iCs/>
          <w:color w:val="000000"/>
        </w:rPr>
        <w:t xml:space="preserve">), </w:t>
      </w:r>
      <w:r w:rsidR="00416D2E" w:rsidRPr="00EC5079">
        <w:rPr>
          <w:rFonts w:eastAsiaTheme="minorHAnsi"/>
          <w:iCs/>
          <w:color w:val="000000"/>
          <w:u w:val="single"/>
        </w:rPr>
        <w:t>documentos ambos de 19 de junio de 2008</w:t>
      </w:r>
      <w:r w:rsidR="00416D2E" w:rsidRPr="00EC5079">
        <w:rPr>
          <w:rFonts w:eastAsiaTheme="minorHAnsi"/>
          <w:iCs/>
          <w:color w:val="000000"/>
        </w:rPr>
        <w:t xml:space="preserve">; </w:t>
      </w:r>
    </w:p>
    <w:p w:rsidR="00416D2E" w:rsidRPr="00EC5079" w:rsidRDefault="00416D2E" w:rsidP="002E5229">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 xml:space="preserve">Que el ofrecimiento de la contratación partió del propio banco. </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 xml:space="preserve">No constan </w:t>
      </w:r>
      <w:r w:rsidR="002E5229" w:rsidRPr="00EC5079">
        <w:rPr>
          <w:rFonts w:eastAsiaTheme="minorHAnsi"/>
          <w:iCs/>
          <w:color w:val="000000"/>
        </w:rPr>
        <w:t xml:space="preserve">experiencias previas de la empresa ni de su administrador en la contratación de </w:t>
      </w:r>
      <w:r w:rsidRPr="00EC5079">
        <w:rPr>
          <w:rFonts w:eastAsiaTheme="minorHAnsi"/>
          <w:iCs/>
          <w:color w:val="000000"/>
        </w:rPr>
        <w:t>otros swaps</w:t>
      </w:r>
      <w:r w:rsidR="002E5229" w:rsidRPr="00EC5079">
        <w:rPr>
          <w:rFonts w:eastAsiaTheme="minorHAnsi"/>
          <w:iCs/>
          <w:color w:val="000000"/>
        </w:rPr>
        <w:t xml:space="preserve"> o productos de riesgo</w:t>
      </w:r>
      <w:r w:rsidRPr="00EC5079">
        <w:rPr>
          <w:rFonts w:eastAsiaTheme="minorHAnsi"/>
          <w:iCs/>
          <w:color w:val="000000"/>
        </w:rPr>
        <w:t xml:space="preserve">. </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 xml:space="preserve">Que </w:t>
      </w:r>
      <w:r w:rsidR="008D3EAA" w:rsidRPr="00EC5079">
        <w:rPr>
          <w:rFonts w:eastAsiaTheme="minorHAnsi"/>
          <w:iCs/>
          <w:color w:val="000000"/>
        </w:rPr>
        <w:t xml:space="preserve">el 23 de junio de 2008, </w:t>
      </w:r>
      <w:r w:rsidRPr="00EC5079">
        <w:rPr>
          <w:rFonts w:eastAsiaTheme="minorHAnsi"/>
          <w:iCs/>
          <w:color w:val="000000"/>
        </w:rPr>
        <w:t>después de la suscripción del swap</w:t>
      </w:r>
      <w:r w:rsidR="008D3EAA" w:rsidRPr="00EC5079">
        <w:rPr>
          <w:rFonts w:eastAsiaTheme="minorHAnsi"/>
          <w:iCs/>
          <w:color w:val="000000"/>
        </w:rPr>
        <w:t xml:space="preserve">, </w:t>
      </w:r>
      <w:r w:rsidRPr="00EC5079">
        <w:rPr>
          <w:rFonts w:eastAsiaTheme="minorHAnsi"/>
          <w:iCs/>
          <w:color w:val="000000"/>
        </w:rPr>
        <w:t xml:space="preserve"> se realizó una póliza de aval por importe de 132.175,00€</w:t>
      </w:r>
      <w:r w:rsidR="008D3EAA" w:rsidRPr="00EC5079">
        <w:rPr>
          <w:rFonts w:eastAsiaTheme="minorHAnsi"/>
          <w:iCs/>
          <w:color w:val="000000"/>
        </w:rPr>
        <w:t xml:space="preserve"> (</w:t>
      </w:r>
      <w:r w:rsidR="008D3EAA" w:rsidRPr="00EC5079">
        <w:rPr>
          <w:rFonts w:eastAsiaTheme="minorHAnsi"/>
          <w:i/>
          <w:iCs/>
          <w:color w:val="000000"/>
        </w:rPr>
        <w:t>siendo el nocional del swap de 132.000€</w:t>
      </w:r>
      <w:r w:rsidR="008D3EAA" w:rsidRPr="00EC5079">
        <w:rPr>
          <w:rFonts w:eastAsiaTheme="minorHAnsi"/>
          <w:iCs/>
          <w:color w:val="000000"/>
        </w:rPr>
        <w:t xml:space="preserve">) </w:t>
      </w:r>
      <w:r w:rsidRPr="00EC5079">
        <w:rPr>
          <w:rFonts w:eastAsiaTheme="minorHAnsi"/>
          <w:iCs/>
          <w:color w:val="000000"/>
        </w:rPr>
        <w:t xml:space="preserve"> por la que Banco Santander afianzaba a la mercantil Kitesurf del cumplimiento de sus obligaciones</w:t>
      </w:r>
      <w:r w:rsidR="008D3EAA" w:rsidRPr="00EC5079">
        <w:rPr>
          <w:rFonts w:eastAsiaTheme="minorHAnsi"/>
          <w:iCs/>
          <w:color w:val="000000"/>
        </w:rPr>
        <w:t xml:space="preserve"> frente a Heineken España S.A.</w:t>
      </w:r>
      <w:r w:rsidR="00965C6C" w:rsidRPr="00EC5079">
        <w:rPr>
          <w:rFonts w:eastAsiaTheme="minorHAnsi"/>
          <w:iCs/>
          <w:color w:val="000000"/>
        </w:rPr>
        <w:t xml:space="preserve">, </w:t>
      </w:r>
      <w:r w:rsidR="008D3EAA" w:rsidRPr="00EC5079">
        <w:rPr>
          <w:rFonts w:eastAsiaTheme="minorHAnsi"/>
          <w:iCs/>
          <w:color w:val="000000"/>
        </w:rPr>
        <w:t xml:space="preserve"> hasta el 19 de junio de 2013 (</w:t>
      </w:r>
      <w:r w:rsidR="008D3EAA" w:rsidRPr="00EC5079">
        <w:rPr>
          <w:rFonts w:eastAsiaTheme="minorHAnsi"/>
          <w:i/>
          <w:iCs/>
          <w:color w:val="000000"/>
        </w:rPr>
        <w:t xml:space="preserve">el swap </w:t>
      </w:r>
      <w:r w:rsidR="00F66024" w:rsidRPr="00EC5079">
        <w:rPr>
          <w:rFonts w:eastAsiaTheme="minorHAnsi"/>
          <w:i/>
          <w:iCs/>
          <w:color w:val="000000"/>
        </w:rPr>
        <w:t>tenía</w:t>
      </w:r>
      <w:r w:rsidR="008D3EAA" w:rsidRPr="00EC5079">
        <w:rPr>
          <w:rFonts w:eastAsiaTheme="minorHAnsi"/>
          <w:i/>
          <w:iCs/>
          <w:color w:val="000000"/>
        </w:rPr>
        <w:t xml:space="preserve"> una duración hasta el 30/08/2013</w:t>
      </w:r>
      <w:r w:rsidR="008D3EAA" w:rsidRPr="00EC5079">
        <w:rPr>
          <w:rFonts w:eastAsiaTheme="minorHAnsi"/>
          <w:iCs/>
          <w:color w:val="000000"/>
        </w:rPr>
        <w:t>)</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 xml:space="preserve">Que en ficho aval se pactó como comisión por riesgo </w:t>
      </w:r>
      <w:r w:rsidR="00F66024" w:rsidRPr="00EC5079">
        <w:rPr>
          <w:rFonts w:eastAsiaTheme="minorHAnsi"/>
          <w:iCs/>
          <w:color w:val="000000"/>
        </w:rPr>
        <w:t>un fijo del</w:t>
      </w:r>
      <w:r w:rsidRPr="00EC5079">
        <w:rPr>
          <w:rFonts w:eastAsiaTheme="minorHAnsi"/>
          <w:iCs/>
          <w:color w:val="000000"/>
        </w:rPr>
        <w:t xml:space="preserve"> 0,25% trimestral durante la vigencia del aval y del 29,00%, respecto de la devolución de las cantidades que el Banco haya debido adelantar a consecuencia del aval.</w:t>
      </w:r>
    </w:p>
    <w:p w:rsidR="00416D2E" w:rsidRPr="00EC5079" w:rsidRDefault="00416D2E" w:rsidP="00416D2E">
      <w:pPr>
        <w:pStyle w:val="Prrafodelista"/>
        <w:numPr>
          <w:ilvl w:val="0"/>
          <w:numId w:val="39"/>
        </w:numPr>
        <w:tabs>
          <w:tab w:val="left" w:pos="142"/>
          <w:tab w:val="left" w:pos="567"/>
          <w:tab w:val="left" w:pos="709"/>
          <w:tab w:val="left" w:pos="851"/>
          <w:tab w:val="left" w:pos="1134"/>
          <w:tab w:val="left" w:pos="1418"/>
        </w:tabs>
        <w:spacing w:before="100" w:beforeAutospacing="1" w:after="100" w:afterAutospacing="1" w:line="360" w:lineRule="auto"/>
        <w:jc w:val="both"/>
        <w:rPr>
          <w:rFonts w:eastAsiaTheme="minorHAnsi"/>
          <w:iCs/>
          <w:color w:val="000000"/>
        </w:rPr>
      </w:pPr>
      <w:r w:rsidRPr="00EC5079">
        <w:rPr>
          <w:rFonts w:eastAsiaTheme="minorHAnsi"/>
          <w:iCs/>
          <w:color w:val="000000"/>
        </w:rPr>
        <w:t>Que la única liquidación</w:t>
      </w:r>
      <w:r w:rsidR="00F66024" w:rsidRPr="00EC5079">
        <w:rPr>
          <w:rFonts w:eastAsiaTheme="minorHAnsi"/>
          <w:iCs/>
          <w:color w:val="000000"/>
        </w:rPr>
        <w:t xml:space="preserve"> del swap</w:t>
      </w:r>
      <w:r w:rsidRPr="00EC5079">
        <w:rPr>
          <w:rFonts w:eastAsiaTheme="minorHAnsi"/>
          <w:iCs/>
          <w:color w:val="000000"/>
        </w:rPr>
        <w:t xml:space="preserve"> que a fecha de demanda se había practicado a la empresa fue la de agosto de 2010 por importe </w:t>
      </w:r>
      <w:r w:rsidRPr="00EC5079">
        <w:rPr>
          <w:rFonts w:eastAsiaTheme="minorHAnsi"/>
          <w:b/>
          <w:iCs/>
          <w:color w:val="000000"/>
        </w:rPr>
        <w:t xml:space="preserve">negativo de 4.451,11€. </w:t>
      </w:r>
    </w:p>
    <w:p w:rsidR="00446496" w:rsidRPr="00EC5079" w:rsidRDefault="00416D2E" w:rsidP="00965C6C">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iCs/>
          <w:color w:val="000000"/>
          <w:sz w:val="24"/>
          <w:szCs w:val="24"/>
        </w:rPr>
        <w:t xml:space="preserve">Partiendo de lo anterior, discrepamos en la conclusión de la Audiencia Provincial en el sentido de que </w:t>
      </w:r>
      <w:r w:rsidR="00F66024" w:rsidRPr="00EC5079">
        <w:rPr>
          <w:rFonts w:ascii="Times New Roman" w:eastAsiaTheme="minorHAnsi" w:hAnsi="Times New Roman" w:cs="Times New Roman"/>
          <w:iCs/>
          <w:color w:val="000000"/>
          <w:sz w:val="24"/>
          <w:szCs w:val="24"/>
        </w:rPr>
        <w:t>el representante de la demandante fuese consciente</w:t>
      </w:r>
      <w:r w:rsidR="002A224E" w:rsidRPr="00EC5079">
        <w:rPr>
          <w:rFonts w:ascii="Times New Roman" w:eastAsiaTheme="minorHAnsi" w:hAnsi="Times New Roman" w:cs="Times New Roman"/>
          <w:iCs/>
          <w:color w:val="000000"/>
          <w:sz w:val="24"/>
          <w:szCs w:val="24"/>
        </w:rPr>
        <w:t xml:space="preserve">, </w:t>
      </w:r>
      <w:r w:rsidR="00F66024" w:rsidRPr="00EC5079">
        <w:rPr>
          <w:rFonts w:ascii="Times New Roman" w:eastAsiaTheme="minorHAnsi" w:hAnsi="Times New Roman" w:cs="Times New Roman"/>
          <w:iCs/>
          <w:color w:val="000000"/>
          <w:sz w:val="24"/>
          <w:szCs w:val="24"/>
        </w:rPr>
        <w:t xml:space="preserve"> “</w:t>
      </w:r>
      <w:r w:rsidR="00F66024" w:rsidRPr="00EC5079">
        <w:rPr>
          <w:rFonts w:ascii="Times New Roman" w:eastAsiaTheme="minorHAnsi" w:hAnsi="Times New Roman" w:cs="Times New Roman"/>
          <w:i/>
          <w:iCs/>
          <w:color w:val="000000"/>
          <w:sz w:val="24"/>
          <w:szCs w:val="24"/>
        </w:rPr>
        <w:t>porque se lo explicaron</w:t>
      </w:r>
      <w:r w:rsidR="00F66024" w:rsidRPr="00EC5079">
        <w:rPr>
          <w:rFonts w:ascii="Times New Roman" w:eastAsiaTheme="minorHAnsi" w:hAnsi="Times New Roman" w:cs="Times New Roman"/>
          <w:iCs/>
          <w:color w:val="000000"/>
          <w:sz w:val="24"/>
          <w:szCs w:val="24"/>
        </w:rPr>
        <w:t>”</w:t>
      </w:r>
      <w:r w:rsidR="002A224E" w:rsidRPr="00EC5079">
        <w:rPr>
          <w:rFonts w:ascii="Times New Roman" w:eastAsiaTheme="minorHAnsi" w:hAnsi="Times New Roman" w:cs="Times New Roman"/>
          <w:iCs/>
          <w:color w:val="000000"/>
          <w:sz w:val="24"/>
          <w:szCs w:val="24"/>
        </w:rPr>
        <w:t xml:space="preserve">, </w:t>
      </w:r>
      <w:r w:rsidR="00F66024" w:rsidRPr="00EC5079">
        <w:rPr>
          <w:rFonts w:ascii="Times New Roman" w:eastAsiaTheme="minorHAnsi" w:hAnsi="Times New Roman" w:cs="Times New Roman"/>
          <w:iCs/>
          <w:color w:val="000000"/>
          <w:sz w:val="24"/>
          <w:szCs w:val="24"/>
        </w:rPr>
        <w:t xml:space="preserve"> de que con la posibilidad de ganancia asumía también el riesgo de pérdidas</w:t>
      </w:r>
      <w:r w:rsidR="002A224E" w:rsidRPr="00EC5079">
        <w:rPr>
          <w:rFonts w:ascii="Times New Roman" w:eastAsiaTheme="minorHAnsi" w:hAnsi="Times New Roman" w:cs="Times New Roman"/>
          <w:iCs/>
          <w:color w:val="000000"/>
          <w:sz w:val="24"/>
          <w:szCs w:val="24"/>
        </w:rPr>
        <w:t xml:space="preserve"> porque</w:t>
      </w:r>
      <w:r w:rsidR="00B43F0E" w:rsidRPr="00EC5079">
        <w:rPr>
          <w:rFonts w:ascii="Times New Roman" w:eastAsiaTheme="minorHAnsi" w:hAnsi="Times New Roman" w:cs="Times New Roman"/>
          <w:iCs/>
          <w:color w:val="000000"/>
          <w:sz w:val="24"/>
          <w:szCs w:val="24"/>
        </w:rPr>
        <w:t xml:space="preserve"> la sentencia</w:t>
      </w:r>
      <w:r w:rsidR="002A224E" w:rsidRPr="00EC5079">
        <w:rPr>
          <w:rFonts w:ascii="Times New Roman" w:eastAsiaTheme="minorHAnsi" w:hAnsi="Times New Roman" w:cs="Times New Roman"/>
          <w:iCs/>
          <w:color w:val="000000"/>
          <w:sz w:val="24"/>
          <w:szCs w:val="24"/>
        </w:rPr>
        <w:t xml:space="preserve"> no ha justificado ni </w:t>
      </w:r>
      <w:r w:rsidR="00B43F0E" w:rsidRPr="00EC5079">
        <w:rPr>
          <w:rFonts w:ascii="Times New Roman" w:eastAsiaTheme="minorHAnsi" w:hAnsi="Times New Roman" w:cs="Times New Roman"/>
          <w:iCs/>
          <w:color w:val="000000"/>
          <w:sz w:val="24"/>
          <w:szCs w:val="24"/>
        </w:rPr>
        <w:t xml:space="preserve">el </w:t>
      </w:r>
      <w:r w:rsidR="00965C6C" w:rsidRPr="00EC5079">
        <w:rPr>
          <w:rFonts w:ascii="Times New Roman" w:eastAsiaTheme="minorHAnsi" w:hAnsi="Times New Roman" w:cs="Times New Roman"/>
          <w:iCs/>
          <w:color w:val="000000"/>
          <w:sz w:val="24"/>
          <w:szCs w:val="24"/>
        </w:rPr>
        <w:t xml:space="preserve">Banco Santander ha probado en que consistió la </w:t>
      </w:r>
      <w:r w:rsidR="002A224E" w:rsidRPr="00EC5079">
        <w:rPr>
          <w:rFonts w:ascii="Times New Roman" w:eastAsiaTheme="minorHAnsi" w:hAnsi="Times New Roman" w:cs="Times New Roman"/>
          <w:b/>
          <w:sz w:val="24"/>
          <w:szCs w:val="24"/>
        </w:rPr>
        <w:t>actividad informativa</w:t>
      </w:r>
      <w:r w:rsidR="002A224E" w:rsidRPr="00EC5079">
        <w:rPr>
          <w:rFonts w:ascii="Times New Roman" w:eastAsiaTheme="minorHAnsi" w:hAnsi="Times New Roman" w:cs="Times New Roman"/>
          <w:sz w:val="24"/>
          <w:szCs w:val="24"/>
        </w:rPr>
        <w:t xml:space="preserve"> del banco</w:t>
      </w:r>
      <w:r w:rsidR="002A224E" w:rsidRPr="00EC5079">
        <w:rPr>
          <w:rFonts w:ascii="Times New Roman" w:eastAsiaTheme="minorHAnsi" w:hAnsi="Times New Roman" w:cs="Times New Roman"/>
          <w:b/>
          <w:sz w:val="24"/>
          <w:szCs w:val="24"/>
        </w:rPr>
        <w:t xml:space="preserve"> adicional</w:t>
      </w:r>
      <w:r w:rsidR="00446496" w:rsidRPr="00EC5079">
        <w:rPr>
          <w:rFonts w:ascii="Times New Roman" w:eastAsiaTheme="minorHAnsi" w:hAnsi="Times New Roman" w:cs="Times New Roman"/>
          <w:sz w:val="24"/>
          <w:szCs w:val="24"/>
        </w:rPr>
        <w:t xml:space="preserve"> </w:t>
      </w:r>
      <w:r w:rsidR="00965C6C" w:rsidRPr="00EC5079">
        <w:rPr>
          <w:rFonts w:ascii="Times New Roman" w:eastAsiaTheme="minorHAnsi" w:hAnsi="Times New Roman" w:cs="Times New Roman"/>
          <w:sz w:val="24"/>
          <w:szCs w:val="24"/>
        </w:rPr>
        <w:t>al propio contrato (</w:t>
      </w:r>
      <w:r w:rsidR="00965C6C" w:rsidRPr="00EC5079">
        <w:rPr>
          <w:rFonts w:ascii="Times New Roman" w:eastAsiaTheme="minorHAnsi" w:hAnsi="Times New Roman" w:cs="Times New Roman"/>
          <w:i/>
          <w:sz w:val="24"/>
          <w:szCs w:val="24"/>
        </w:rPr>
        <w:t>no existen correos electrónicos, simulaciones ni presentaciones del producto por Banco Santander a los efectos de explicar su funcionamiento</w:t>
      </w:r>
      <w:r w:rsidR="00B86120">
        <w:rPr>
          <w:rFonts w:ascii="Times New Roman" w:eastAsiaTheme="minorHAnsi" w:hAnsi="Times New Roman" w:cs="Times New Roman"/>
          <w:i/>
          <w:sz w:val="24"/>
          <w:szCs w:val="24"/>
        </w:rPr>
        <w:t xml:space="preserve"> y la declaración del empleado del banco que </w:t>
      </w:r>
      <w:r w:rsidR="00B86120">
        <w:rPr>
          <w:rFonts w:ascii="Times New Roman" w:eastAsiaTheme="minorHAnsi" w:hAnsi="Times New Roman" w:cs="Times New Roman"/>
          <w:i/>
          <w:sz w:val="24"/>
          <w:szCs w:val="24"/>
        </w:rPr>
        <w:lastRenderedPageBreak/>
        <w:t>intervino en la comercialización ha sido valorada por la instancia como “bastante imprecisa”</w:t>
      </w:r>
      <w:r w:rsidR="00965C6C" w:rsidRPr="00EC5079">
        <w:rPr>
          <w:rFonts w:ascii="Times New Roman" w:eastAsiaTheme="minorHAnsi" w:hAnsi="Times New Roman" w:cs="Times New Roman"/>
          <w:sz w:val="24"/>
          <w:szCs w:val="24"/>
        </w:rPr>
        <w:t xml:space="preserve">); la sentencia no ha justificado que existiese una labor de </w:t>
      </w:r>
      <w:r w:rsidR="00965C6C" w:rsidRPr="00EC5079">
        <w:rPr>
          <w:rFonts w:ascii="Times New Roman" w:eastAsiaTheme="minorHAnsi" w:hAnsi="Times New Roman" w:cs="Times New Roman"/>
          <w:b/>
          <w:sz w:val="24"/>
          <w:szCs w:val="24"/>
        </w:rPr>
        <w:t xml:space="preserve">explicación del producto con la antelación suficiente </w:t>
      </w:r>
      <w:r w:rsidR="00965C6C" w:rsidRPr="00EC5079">
        <w:rPr>
          <w:rFonts w:ascii="Times New Roman" w:eastAsiaTheme="minorHAnsi" w:hAnsi="Times New Roman" w:cs="Times New Roman"/>
          <w:sz w:val="24"/>
          <w:szCs w:val="24"/>
        </w:rPr>
        <w:t xml:space="preserve">a su contratación para evitar una incorrecta interpretación; no se ha justificado que </w:t>
      </w:r>
      <w:r w:rsidR="00965C6C" w:rsidRPr="00EC5079">
        <w:rPr>
          <w:rFonts w:ascii="Times New Roman" w:eastAsiaTheme="minorHAnsi" w:hAnsi="Times New Roman" w:cs="Times New Roman"/>
          <w:b/>
          <w:sz w:val="24"/>
          <w:szCs w:val="24"/>
        </w:rPr>
        <w:t>se explicasen como se realizaban las liquidaciones,</w:t>
      </w:r>
      <w:r w:rsidR="00965C6C" w:rsidRPr="00EC5079">
        <w:rPr>
          <w:rFonts w:ascii="Times New Roman" w:eastAsiaTheme="minorHAnsi" w:hAnsi="Times New Roman" w:cs="Times New Roman"/>
          <w:sz w:val="24"/>
          <w:szCs w:val="24"/>
        </w:rPr>
        <w:t xml:space="preserve"> la proporción o desproporción entre el tipo CAP del 6,50% (</w:t>
      </w:r>
      <w:r w:rsidR="00965C6C" w:rsidRPr="00EC5079">
        <w:rPr>
          <w:rFonts w:ascii="Times New Roman" w:eastAsiaTheme="minorHAnsi" w:hAnsi="Times New Roman" w:cs="Times New Roman"/>
          <w:i/>
          <w:sz w:val="24"/>
          <w:szCs w:val="24"/>
        </w:rPr>
        <w:t>a partir del cual el producto empezaría a proteger a la empresa</w:t>
      </w:r>
      <w:r w:rsidR="00965C6C" w:rsidRPr="00EC5079">
        <w:rPr>
          <w:rFonts w:ascii="Times New Roman" w:eastAsiaTheme="minorHAnsi" w:hAnsi="Times New Roman" w:cs="Times New Roman"/>
          <w:sz w:val="24"/>
          <w:szCs w:val="24"/>
        </w:rPr>
        <w:t>) y el tipo FLOOR del 4,50% (</w:t>
      </w:r>
      <w:r w:rsidR="00965C6C" w:rsidRPr="00EC5079">
        <w:rPr>
          <w:rFonts w:ascii="Times New Roman" w:eastAsiaTheme="minorHAnsi" w:hAnsi="Times New Roman" w:cs="Times New Roman"/>
          <w:i/>
          <w:sz w:val="24"/>
          <w:szCs w:val="24"/>
        </w:rPr>
        <w:t>por debajo del cual, la empresa tendría que afrontar liquidaciones negativas</w:t>
      </w:r>
      <w:r w:rsidR="00965C6C" w:rsidRPr="00EC5079">
        <w:rPr>
          <w:rFonts w:ascii="Times New Roman" w:eastAsiaTheme="minorHAnsi" w:hAnsi="Times New Roman" w:cs="Times New Roman"/>
          <w:sz w:val="24"/>
          <w:szCs w:val="24"/>
        </w:rPr>
        <w:t xml:space="preserve">); no se ha justificado </w:t>
      </w:r>
      <w:r w:rsidR="00965C6C" w:rsidRPr="00EC5079">
        <w:rPr>
          <w:rFonts w:ascii="Times New Roman" w:eastAsiaTheme="minorHAnsi" w:hAnsi="Times New Roman" w:cs="Times New Roman"/>
          <w:b/>
          <w:sz w:val="24"/>
          <w:szCs w:val="24"/>
        </w:rPr>
        <w:t>ejemplos a diversos niveles de Euribor</w:t>
      </w:r>
      <w:r w:rsidR="00965C6C" w:rsidRPr="00EC5079">
        <w:rPr>
          <w:rFonts w:ascii="Times New Roman" w:eastAsiaTheme="minorHAnsi" w:hAnsi="Times New Roman" w:cs="Times New Roman"/>
          <w:sz w:val="24"/>
          <w:szCs w:val="24"/>
        </w:rPr>
        <w:t xml:space="preserve"> a los efectos de que la empresa pudiera ver un ejemplo práctico en euros del funcionamiento del swap; </w:t>
      </w:r>
      <w:r w:rsidR="00965C6C" w:rsidRPr="00EC5079">
        <w:rPr>
          <w:rFonts w:ascii="Times New Roman" w:eastAsiaTheme="minorHAnsi" w:hAnsi="Times New Roman" w:cs="Times New Roman"/>
          <w:b/>
          <w:sz w:val="24"/>
          <w:szCs w:val="24"/>
        </w:rPr>
        <w:t>no existe cálculo teórico de la cancelación anticipada</w:t>
      </w:r>
      <w:r w:rsidR="00965C6C" w:rsidRPr="00EC5079">
        <w:rPr>
          <w:rFonts w:ascii="Times New Roman" w:eastAsiaTheme="minorHAnsi" w:hAnsi="Times New Roman" w:cs="Times New Roman"/>
          <w:sz w:val="24"/>
          <w:szCs w:val="24"/>
        </w:rPr>
        <w:t xml:space="preserve"> a fecha de contratación ni explicación detallada, en definitiva de </w:t>
      </w:r>
      <w:r w:rsidR="00446496" w:rsidRPr="00EC5079">
        <w:rPr>
          <w:rFonts w:ascii="Times New Roman" w:eastAsiaTheme="minorHAnsi" w:hAnsi="Times New Roman" w:cs="Times New Roman"/>
          <w:sz w:val="24"/>
          <w:szCs w:val="24"/>
        </w:rPr>
        <w:t>cuáles s</w:t>
      </w:r>
      <w:r w:rsidR="00446496" w:rsidRPr="00EC5079">
        <w:rPr>
          <w:rFonts w:ascii="Times New Roman" w:eastAsiaTheme="minorHAnsi" w:hAnsi="Times New Roman" w:cs="Times New Roman"/>
          <w:b/>
          <w:sz w:val="24"/>
          <w:szCs w:val="24"/>
        </w:rPr>
        <w:t>on los concretos riesgos</w:t>
      </w:r>
      <w:r w:rsidR="00446496" w:rsidRPr="00EC5079">
        <w:rPr>
          <w:rFonts w:ascii="Times New Roman" w:eastAsiaTheme="minorHAnsi" w:hAnsi="Times New Roman" w:cs="Times New Roman"/>
          <w:sz w:val="24"/>
          <w:szCs w:val="24"/>
        </w:rPr>
        <w:t xml:space="preserve"> en </w:t>
      </w:r>
      <w:r w:rsidR="00965C6C" w:rsidRPr="00EC5079">
        <w:rPr>
          <w:rFonts w:ascii="Times New Roman" w:eastAsiaTheme="minorHAnsi" w:hAnsi="Times New Roman" w:cs="Times New Roman"/>
          <w:sz w:val="24"/>
          <w:szCs w:val="24"/>
        </w:rPr>
        <w:t xml:space="preserve">que podría incurrir el cliente con este contrato. </w:t>
      </w:r>
    </w:p>
    <w:p w:rsidR="002A224E" w:rsidRPr="00EC5079" w:rsidRDefault="002A224E" w:rsidP="00446496">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 xml:space="preserve">Cierto es que en el contrato consta un anexo en el que se habla de distintos escenarios negativo, neutral y positivo para el banco dependiendo de que el tipo de interés de referencia estuviese por encima o por debajo de las barreras CAP y FLOOR o entre ellas. </w:t>
      </w:r>
      <w:r w:rsidR="00B43F0E" w:rsidRPr="00EC5079">
        <w:rPr>
          <w:rFonts w:ascii="Times New Roman" w:eastAsiaTheme="minorHAnsi" w:hAnsi="Times New Roman" w:cs="Times New Roman"/>
          <w:sz w:val="24"/>
          <w:szCs w:val="24"/>
        </w:rPr>
        <w:t xml:space="preserve">También se habla que la cancelación anticipada se podrá hacer “a precios de mercado” lo que supondría el “coste correspondiente”. </w:t>
      </w:r>
    </w:p>
    <w:p w:rsidR="00446496" w:rsidRPr="00EC5079" w:rsidRDefault="002A224E" w:rsidP="00446496">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Pero lo anterior no es suficiente a los efectos de tener por acreditado el cumplimiento del deber de información, dado que, como establece la jurisprudencia, no puede entenderse cumplido este deber mediante</w:t>
      </w:r>
      <w:r w:rsidR="00446496" w:rsidRPr="00EC5079">
        <w:rPr>
          <w:rFonts w:ascii="Times New Roman" w:eastAsiaTheme="minorHAnsi" w:hAnsi="Times New Roman" w:cs="Times New Roman"/>
          <w:sz w:val="24"/>
          <w:szCs w:val="24"/>
        </w:rPr>
        <w:t xml:space="preserve"> cláusulas contractuales que se limiten a informar sobre lo obvio, es decir, que como se trata de un contrato aleatorio, en el que se establece como límite a la aplicación del tipo fijo un referencial variable, puede haber resultados positivos o negativos para el cliente según la fluctuación de ese tipo referencial. </w:t>
      </w:r>
    </w:p>
    <w:p w:rsidR="00416D2E" w:rsidRPr="00EC5079" w:rsidRDefault="002A224E" w:rsidP="002A224E">
      <w:pPr>
        <w:autoSpaceDE w:val="0"/>
        <w:autoSpaceDN w:val="0"/>
        <w:adjustRightInd w:val="0"/>
        <w:spacing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sz w:val="24"/>
          <w:szCs w:val="24"/>
        </w:rPr>
        <w:t xml:space="preserve">La sentencia contraviene la jurisprudencia al decir que </w:t>
      </w:r>
      <w:r w:rsidR="00416D2E" w:rsidRPr="00EC5079">
        <w:rPr>
          <w:rFonts w:ascii="Times New Roman" w:eastAsiaTheme="minorHAnsi" w:hAnsi="Times New Roman" w:cs="Times New Roman"/>
          <w:iCs/>
          <w:color w:val="000000"/>
          <w:sz w:val="24"/>
          <w:szCs w:val="24"/>
        </w:rPr>
        <w:t xml:space="preserve">el error padecido </w:t>
      </w:r>
      <w:r w:rsidRPr="00EC5079">
        <w:rPr>
          <w:rFonts w:ascii="Times New Roman" w:eastAsiaTheme="minorHAnsi" w:hAnsi="Times New Roman" w:cs="Times New Roman"/>
          <w:iCs/>
          <w:color w:val="000000"/>
          <w:sz w:val="24"/>
          <w:szCs w:val="24"/>
        </w:rPr>
        <w:t xml:space="preserve">no fue excusable </w:t>
      </w:r>
      <w:r w:rsidR="00416D2E" w:rsidRPr="00EC5079">
        <w:rPr>
          <w:rFonts w:ascii="Times New Roman" w:eastAsiaTheme="minorHAnsi" w:hAnsi="Times New Roman" w:cs="Times New Roman"/>
          <w:iCs/>
          <w:color w:val="000000"/>
          <w:sz w:val="24"/>
          <w:szCs w:val="24"/>
        </w:rPr>
        <w:t xml:space="preserve">para mi mandante por pesar sobre la recurrente la exigencia de intentar solventar cualquier duda que tuviese sobre la operatividad del riesgo o desequilibrio entre las partes o siendo significativo que guardase silencio cuando las liquidaciones le eran favorables. </w:t>
      </w: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Las recientes </w:t>
      </w:r>
      <w:r w:rsidRPr="00EC5079">
        <w:rPr>
          <w:rFonts w:ascii="Times New Roman" w:eastAsiaTheme="minorHAnsi" w:hAnsi="Times New Roman" w:cs="Times New Roman"/>
          <w:b/>
          <w:iCs/>
          <w:color w:val="000000"/>
          <w:sz w:val="24"/>
          <w:szCs w:val="24"/>
        </w:rPr>
        <w:t>Sentencias del TS de 5 de abril de 2017, nº 223/2017 y de 13 de enero de 2017, nº 10/2017</w:t>
      </w:r>
      <w:r w:rsidRPr="00EC5079">
        <w:rPr>
          <w:rFonts w:ascii="Times New Roman" w:eastAsiaTheme="minorHAnsi" w:hAnsi="Times New Roman" w:cs="Times New Roman"/>
          <w:iCs/>
          <w:color w:val="000000"/>
          <w:sz w:val="24"/>
          <w:szCs w:val="24"/>
        </w:rPr>
        <w:t xml:space="preserve"> (</w:t>
      </w:r>
      <w:r w:rsidRPr="00EC5079">
        <w:rPr>
          <w:rFonts w:ascii="Times New Roman" w:eastAsiaTheme="minorHAnsi" w:hAnsi="Times New Roman" w:cs="Times New Roman"/>
          <w:i/>
          <w:iCs/>
          <w:color w:val="000000"/>
          <w:sz w:val="24"/>
          <w:szCs w:val="24"/>
        </w:rPr>
        <w:t xml:space="preserve">haciéndose eco de lo que ya se dijese en las </w:t>
      </w:r>
      <w:r w:rsidRPr="00EC5079">
        <w:rPr>
          <w:rFonts w:ascii="Times New Roman" w:eastAsiaTheme="minorHAnsi" w:hAnsi="Times New Roman" w:cs="Times New Roman"/>
          <w:b/>
          <w:i/>
          <w:iCs/>
          <w:color w:val="000000"/>
          <w:sz w:val="24"/>
          <w:szCs w:val="24"/>
        </w:rPr>
        <w:t>Sentencias 769/2014, de 12 de enero de 2015 , y 676/2015, de 30 noviembre</w:t>
      </w:r>
      <w:r w:rsidRPr="00EC5079">
        <w:rPr>
          <w:rFonts w:ascii="Times New Roman" w:eastAsiaTheme="minorHAnsi" w:hAnsi="Times New Roman" w:cs="Times New Roman"/>
          <w:iCs/>
          <w:color w:val="000000"/>
          <w:sz w:val="24"/>
          <w:szCs w:val="24"/>
        </w:rPr>
        <w:t xml:space="preserve">), han reiterado que </w:t>
      </w:r>
      <w:r w:rsidRPr="00EC5079">
        <w:rPr>
          <w:rFonts w:ascii="Times New Roman" w:eastAsiaTheme="minorHAnsi" w:hAnsi="Times New Roman" w:cs="Times New Roman"/>
          <w:sz w:val="24"/>
          <w:szCs w:val="24"/>
        </w:rPr>
        <w:t xml:space="preserve">la obligación de informar es activa, no de mera disponibilidad, por lo que la posibilidad de contar con asesoramiento externo no es un dato relevante a la hora de apreciar una actuación no </w:t>
      </w:r>
      <w:r w:rsidRPr="00EC5079">
        <w:rPr>
          <w:rFonts w:ascii="Times New Roman" w:eastAsiaTheme="minorHAnsi" w:hAnsi="Times New Roman" w:cs="Times New Roman"/>
          <w:sz w:val="24"/>
          <w:szCs w:val="24"/>
        </w:rPr>
        <w:lastRenderedPageBreak/>
        <w:t>diligente del cliente que excluya el error. E</w:t>
      </w:r>
      <w:r w:rsidRPr="00EC5079">
        <w:rPr>
          <w:rFonts w:ascii="Times New Roman" w:eastAsiaTheme="minorHAnsi" w:hAnsi="Times New Roman" w:cs="Times New Roman"/>
          <w:iCs/>
          <w:color w:val="000000"/>
          <w:sz w:val="24"/>
          <w:szCs w:val="24"/>
        </w:rPr>
        <w:t>s la empresa de servicios de inversión quien tiene la obligación -</w:t>
      </w:r>
      <w:r w:rsidRPr="00B86120">
        <w:rPr>
          <w:rFonts w:ascii="Times New Roman" w:eastAsiaTheme="minorHAnsi" w:hAnsi="Times New Roman" w:cs="Times New Roman"/>
          <w:i/>
          <w:iCs/>
          <w:color w:val="000000"/>
          <w:sz w:val="24"/>
          <w:szCs w:val="24"/>
        </w:rPr>
        <w:t>activa y no de mera disponibilidad</w:t>
      </w:r>
      <w:r w:rsidRPr="00EC5079">
        <w:rPr>
          <w:rFonts w:ascii="Times New Roman" w:eastAsiaTheme="minorHAnsi" w:hAnsi="Times New Roman" w:cs="Times New Roman"/>
          <w:iCs/>
          <w:color w:val="000000"/>
          <w:sz w:val="24"/>
          <w:szCs w:val="24"/>
        </w:rPr>
        <w:t>- de facilitar la información que le impone dicha normativa legal, y no son sus clientes -</w:t>
      </w:r>
      <w:r w:rsidRPr="00B86120">
        <w:rPr>
          <w:rFonts w:ascii="Times New Roman" w:eastAsiaTheme="minorHAnsi" w:hAnsi="Times New Roman" w:cs="Times New Roman"/>
          <w:i/>
          <w:iCs/>
          <w:color w:val="000000"/>
          <w:sz w:val="24"/>
          <w:szCs w:val="24"/>
        </w:rPr>
        <w:t>que no son profesionales del mercado financiero y de inversión</w:t>
      </w:r>
      <w:r w:rsidRPr="00EC5079">
        <w:rPr>
          <w:rFonts w:ascii="Times New Roman" w:eastAsiaTheme="minorHAnsi" w:hAnsi="Times New Roman" w:cs="Times New Roman"/>
          <w:iCs/>
          <w:color w:val="000000"/>
          <w:sz w:val="24"/>
          <w:szCs w:val="24"/>
        </w:rPr>
        <w:t>- quienes deben averiguar las cuestiones relevantes en materia de inversión, buscar por su cuenta asesoramiento experto y formular las correspondientes preguntas. Sin conocimientos expertos en el mercado de valores, el cliente no puede saber qué información concreta ha de requerir al profesional. Por el contrario, el cliente debe poder confiar en que la entidad de servicios de inversión que le asesora no está omitiendo información sobre ninguna cuestión relevante. Por ello, el banco no puede objetar que la parte que tenía derecho a recibir dicha información correcta debió tomar la iniciativa y proporcionarse la información por sus propios medios.</w:t>
      </w:r>
    </w:p>
    <w:p w:rsidR="00BF0882" w:rsidRPr="00EC5079" w:rsidRDefault="00BF0882" w:rsidP="00416D2E">
      <w:pPr>
        <w:autoSpaceDE w:val="0"/>
        <w:autoSpaceDN w:val="0"/>
        <w:adjustRightInd w:val="0"/>
        <w:spacing w:after="0" w:line="360" w:lineRule="auto"/>
        <w:jc w:val="both"/>
        <w:rPr>
          <w:rFonts w:ascii="Times New Roman" w:eastAsiaTheme="minorHAnsi" w:hAnsi="Times New Roman" w:cs="Times New Roman"/>
          <w:iCs/>
          <w:color w:val="000000"/>
          <w:sz w:val="24"/>
          <w:szCs w:val="24"/>
        </w:rPr>
      </w:pP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
          <w:iCs/>
          <w:color w:val="000000"/>
          <w:sz w:val="24"/>
          <w:szCs w:val="24"/>
        </w:rPr>
      </w:pPr>
      <w:r w:rsidRPr="00EC5079">
        <w:rPr>
          <w:rFonts w:ascii="Times New Roman" w:eastAsiaTheme="minorHAnsi" w:hAnsi="Times New Roman" w:cs="Times New Roman"/>
          <w:iCs/>
          <w:color w:val="000000"/>
          <w:sz w:val="24"/>
          <w:szCs w:val="24"/>
        </w:rPr>
        <w:t xml:space="preserve">Tampoco pueden tomarse en consideración, como realiza la sentencia recurrida,  que es </w:t>
      </w:r>
      <w:r w:rsidRPr="00EC5079">
        <w:rPr>
          <w:rFonts w:ascii="Times New Roman" w:eastAsiaTheme="minorHAnsi" w:hAnsi="Times New Roman" w:cs="Times New Roman"/>
          <w:i/>
          <w:iCs/>
          <w:color w:val="000000"/>
          <w:sz w:val="24"/>
          <w:szCs w:val="24"/>
        </w:rPr>
        <w:t xml:space="preserve">“…significativa la omisión de acto alguno por parte de los directivos de la empresa (…) durante el periodo en que las liquidaciones le eran favorables de cara a considerar que, como se concluye en la sentencia apelada, en el mejor de los casos, no se trató de un error excusable…” </w:t>
      </w: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
          <w:iCs/>
          <w:color w:val="000000"/>
          <w:sz w:val="24"/>
          <w:szCs w:val="24"/>
        </w:rPr>
      </w:pP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En primer lugar, porque no basta tener un trato habitual con productos bancarios o estar más o menos habituado al tráfico propio de la empresa (</w:t>
      </w:r>
      <w:r w:rsidRPr="00EC5079">
        <w:rPr>
          <w:rFonts w:ascii="Times New Roman" w:eastAsiaTheme="minorHAnsi" w:hAnsi="Times New Roman" w:cs="Times New Roman"/>
          <w:i/>
          <w:iCs/>
          <w:color w:val="000000"/>
          <w:sz w:val="24"/>
          <w:szCs w:val="24"/>
        </w:rPr>
        <w:t>en nuestro caso un chiringuito de playa</w:t>
      </w:r>
      <w:r w:rsidRPr="00EC5079">
        <w:rPr>
          <w:rFonts w:ascii="Times New Roman" w:eastAsiaTheme="minorHAnsi" w:hAnsi="Times New Roman" w:cs="Times New Roman"/>
          <w:iCs/>
          <w:color w:val="000000"/>
          <w:sz w:val="24"/>
          <w:szCs w:val="24"/>
        </w:rPr>
        <w:t xml:space="preserve">) ni por supuesto ser empresario para poder comprender el funcionamiento de una permuta financiera. Serían necesarios conocimientos en materia de inversiones superiores </w:t>
      </w:r>
      <w:r w:rsidRPr="00EC5079">
        <w:rPr>
          <w:rFonts w:ascii="Times New Roman" w:eastAsiaTheme="minorHAnsi" w:hAnsi="Times New Roman" w:cs="Times New Roman"/>
          <w:b/>
          <w:iCs/>
          <w:color w:val="000000"/>
          <w:sz w:val="24"/>
          <w:szCs w:val="24"/>
          <w:u w:val="single"/>
        </w:rPr>
        <w:t>que no se han acreditado que la empresa tuviera</w:t>
      </w:r>
      <w:r w:rsidRPr="00EC5079">
        <w:rPr>
          <w:rFonts w:ascii="Times New Roman" w:eastAsiaTheme="minorHAnsi" w:hAnsi="Times New Roman" w:cs="Times New Roman"/>
          <w:iCs/>
          <w:color w:val="000000"/>
          <w:sz w:val="24"/>
          <w:szCs w:val="24"/>
        </w:rPr>
        <w:t xml:space="preserve"> dado que en el presente caso sólo constan aportados unas pólizas de afianzamiento a tipo fijo pero ningún otro producto semejante al que queremos anular. </w:t>
      </w: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Cs/>
          <w:color w:val="000000"/>
          <w:sz w:val="24"/>
          <w:szCs w:val="24"/>
        </w:rPr>
      </w:pP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iCs/>
          <w:color w:val="000000"/>
          <w:sz w:val="24"/>
          <w:szCs w:val="24"/>
        </w:rPr>
      </w:pPr>
      <w:r w:rsidRPr="00EC5079">
        <w:rPr>
          <w:rFonts w:ascii="Times New Roman" w:eastAsiaTheme="minorHAnsi" w:hAnsi="Times New Roman" w:cs="Times New Roman"/>
          <w:iCs/>
          <w:color w:val="000000"/>
          <w:sz w:val="24"/>
          <w:szCs w:val="24"/>
        </w:rPr>
        <w:t xml:space="preserve">En este sentido, como establece la </w:t>
      </w:r>
      <w:r w:rsidRPr="00EC5079">
        <w:rPr>
          <w:rFonts w:ascii="Times New Roman" w:eastAsiaTheme="minorHAnsi" w:hAnsi="Times New Roman" w:cs="Times New Roman"/>
          <w:b/>
          <w:iCs/>
          <w:color w:val="000000"/>
          <w:sz w:val="24"/>
          <w:szCs w:val="24"/>
        </w:rPr>
        <w:t>Sentencia del TS de 5 de abril de 2017, nº 223/2017</w:t>
      </w:r>
      <w:r w:rsidRPr="00EC5079">
        <w:rPr>
          <w:rFonts w:ascii="Times New Roman" w:eastAsiaTheme="minorHAnsi" w:hAnsi="Times New Roman" w:cs="Times New Roman"/>
          <w:iCs/>
          <w:color w:val="000000"/>
          <w:sz w:val="24"/>
          <w:szCs w:val="24"/>
        </w:rPr>
        <w:t xml:space="preserve">, </w:t>
      </w:r>
    </w:p>
    <w:p w:rsidR="00416D2E" w:rsidRPr="00EC5079" w:rsidRDefault="00416D2E" w:rsidP="002A224E">
      <w:pPr>
        <w:autoSpaceDE w:val="0"/>
        <w:autoSpaceDN w:val="0"/>
        <w:adjustRightInd w:val="0"/>
        <w:spacing w:after="0" w:line="360" w:lineRule="auto"/>
        <w:ind w:left="708"/>
        <w:jc w:val="both"/>
        <w:rPr>
          <w:rFonts w:ascii="Times New Roman" w:eastAsiaTheme="minorHAnsi" w:hAnsi="Times New Roman" w:cs="Times New Roman"/>
          <w:i/>
          <w:sz w:val="20"/>
          <w:szCs w:val="24"/>
        </w:rPr>
      </w:pPr>
      <w:r w:rsidRPr="00EC5079">
        <w:rPr>
          <w:rFonts w:ascii="Times New Roman" w:eastAsiaTheme="minorHAnsi" w:hAnsi="Times New Roman" w:cs="Times New Roman"/>
          <w:i/>
          <w:iCs/>
          <w:color w:val="000000"/>
          <w:sz w:val="20"/>
          <w:szCs w:val="24"/>
        </w:rPr>
        <w:t>“…n</w:t>
      </w:r>
      <w:r w:rsidRPr="00EC5079">
        <w:rPr>
          <w:rFonts w:ascii="Times New Roman" w:eastAsiaTheme="minorHAnsi" w:hAnsi="Times New Roman" w:cs="Times New Roman"/>
          <w:i/>
          <w:sz w:val="20"/>
          <w:szCs w:val="24"/>
        </w:rPr>
        <w:t>o cualquier capacitación profesional, relacionada con el Derecho y la Empresa, ni tampoco la actividad financiera ordinaria de una compañía, permiten presumir está capacidad de tomar sus propias decisiones de inversión y valorar correctamente los riesgos. La capacitación y experiencia deben tener relación con la inversión en este tipo de productos complejos u otros que permitan concluir que el cliente sabe a qué tiene que atender para conocer cómo funciona el producto y conoce el riesgo que asume…”</w:t>
      </w:r>
    </w:p>
    <w:p w:rsidR="00416D2E" w:rsidRPr="00EC5079" w:rsidRDefault="00416D2E" w:rsidP="00416D2E">
      <w:pPr>
        <w:autoSpaceDE w:val="0"/>
        <w:autoSpaceDN w:val="0"/>
        <w:adjustRightInd w:val="0"/>
        <w:spacing w:after="0" w:line="360" w:lineRule="auto"/>
        <w:ind w:left="708"/>
        <w:jc w:val="both"/>
        <w:rPr>
          <w:rFonts w:ascii="Times New Roman" w:eastAsiaTheme="minorHAnsi" w:hAnsi="Times New Roman" w:cs="Times New Roman"/>
          <w:i/>
          <w:sz w:val="24"/>
          <w:szCs w:val="24"/>
        </w:rPr>
      </w:pPr>
      <w:r w:rsidRPr="00EC5079">
        <w:rPr>
          <w:rFonts w:ascii="Times New Roman" w:eastAsiaTheme="minorHAnsi" w:hAnsi="Times New Roman" w:cs="Times New Roman"/>
          <w:i/>
          <w:sz w:val="20"/>
          <w:szCs w:val="24"/>
        </w:rPr>
        <w:t xml:space="preserve">“…La formación necesaria para conocer la naturaleza, características y riesgos de un producto complejo y de riesgo como es el </w:t>
      </w:r>
      <w:r w:rsidRPr="00EC5079">
        <w:rPr>
          <w:rFonts w:ascii="Times New Roman" w:eastAsiaTheme="minorHAnsi" w:hAnsi="Times New Roman" w:cs="Times New Roman"/>
          <w:b/>
          <w:bCs/>
          <w:i/>
          <w:iCs/>
          <w:sz w:val="20"/>
          <w:szCs w:val="24"/>
        </w:rPr>
        <w:t xml:space="preserve">swap </w:t>
      </w:r>
      <w:r w:rsidRPr="00EC5079">
        <w:rPr>
          <w:rFonts w:ascii="Times New Roman" w:eastAsiaTheme="minorHAnsi" w:hAnsi="Times New Roman" w:cs="Times New Roman"/>
          <w:i/>
          <w:sz w:val="20"/>
          <w:szCs w:val="24"/>
        </w:rPr>
        <w:t xml:space="preserve">no es la del simple empresario, sino la del profesional del </w:t>
      </w:r>
      <w:r w:rsidRPr="00EC5079">
        <w:rPr>
          <w:rFonts w:ascii="Times New Roman" w:eastAsiaTheme="minorHAnsi" w:hAnsi="Times New Roman" w:cs="Times New Roman"/>
          <w:i/>
          <w:sz w:val="20"/>
          <w:szCs w:val="24"/>
        </w:rPr>
        <w:lastRenderedPageBreak/>
        <w:t>mercado de valores o, al menos, la del cliente experimentado en este tipo de productos (sentencias 579/2016, de 30 de septiembre , 549/2015, de 22 de octubre , 633/2015, de 19 de noviembre , 651/2015, de 20 de noviembre , 676/2015, de 30 de noviembre , 2/2017, de 10 de enero , y 11/2017, de 13 de enero). En consecuencia, no por tratarse de una empresa debe presumirse en sus administradores o representantes unos específicos conocimientos en materia bancaria o financiera (p. ej., sentencias 676/2015, de 30 de noviembre , 2/2017, de 10 de enero y 11/2017, de 13 de enero ), y el conocimiento especializado exigible en la contratación de este tipo de productos financieros complejos «tampoco se puede deducir por el hecho de haber sido el encargado de relacionarse con los bancos para el tráfico normal de la empresa, debido a la propia sofisticación, singularidad y complejidad declarada del producto» ( sentencia 594/2016, de 5 de octubre ).”</w:t>
      </w:r>
    </w:p>
    <w:p w:rsidR="00416D2E" w:rsidRPr="00EC5079" w:rsidRDefault="00416D2E" w:rsidP="00416D2E">
      <w:pPr>
        <w:autoSpaceDE w:val="0"/>
        <w:autoSpaceDN w:val="0"/>
        <w:adjustRightInd w:val="0"/>
        <w:spacing w:after="0" w:line="360" w:lineRule="auto"/>
        <w:jc w:val="both"/>
        <w:rPr>
          <w:rFonts w:ascii="Times New Roman" w:eastAsiaTheme="minorHAnsi" w:hAnsi="Times New Roman" w:cs="Times New Roman"/>
          <w:sz w:val="24"/>
          <w:szCs w:val="24"/>
        </w:rPr>
      </w:pPr>
    </w:p>
    <w:p w:rsidR="00BF0882" w:rsidRPr="00EC5079" w:rsidRDefault="002A224E"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Pero es que a</w:t>
      </w:r>
      <w:r w:rsidR="00416D2E" w:rsidRPr="00EC5079">
        <w:rPr>
          <w:rFonts w:ascii="Times New Roman" w:eastAsiaTheme="minorHAnsi" w:hAnsi="Times New Roman" w:cs="Times New Roman"/>
          <w:sz w:val="24"/>
          <w:szCs w:val="24"/>
        </w:rPr>
        <w:t xml:space="preserve"> mayor abundamiento, en el caso que nos ocupa </w:t>
      </w:r>
      <w:r w:rsidR="00416D2E" w:rsidRPr="00EC5079">
        <w:rPr>
          <w:rFonts w:ascii="Times New Roman" w:eastAsiaTheme="minorHAnsi" w:hAnsi="Times New Roman" w:cs="Times New Roman"/>
          <w:sz w:val="24"/>
          <w:szCs w:val="24"/>
          <w:u w:val="single"/>
        </w:rPr>
        <w:t>ni siquiera se produjeron liquidaciones positivas</w:t>
      </w:r>
      <w:r w:rsidR="00BF0882" w:rsidRPr="00EC5079">
        <w:rPr>
          <w:rFonts w:ascii="Times New Roman" w:eastAsiaTheme="minorHAnsi" w:hAnsi="Times New Roman" w:cs="Times New Roman"/>
          <w:sz w:val="24"/>
          <w:szCs w:val="24"/>
        </w:rPr>
        <w:t xml:space="preserve"> en el contrato, como hemos manifestado en el recurso de infracción procesal. </w:t>
      </w:r>
    </w:p>
    <w:p w:rsidR="00416D2E" w:rsidRPr="00EC5079" w:rsidRDefault="00416D2E"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Se trataba de un contrato de “</w:t>
      </w:r>
      <w:r w:rsidRPr="00EC5079">
        <w:rPr>
          <w:rFonts w:ascii="Times New Roman" w:eastAsiaTheme="minorHAnsi" w:hAnsi="Times New Roman" w:cs="Times New Roman"/>
          <w:i/>
          <w:sz w:val="24"/>
          <w:szCs w:val="24"/>
        </w:rPr>
        <w:t>confirmación de tipos de interés collar</w:t>
      </w:r>
      <w:r w:rsidRPr="00EC5079">
        <w:rPr>
          <w:rFonts w:ascii="Times New Roman" w:eastAsiaTheme="minorHAnsi" w:hAnsi="Times New Roman" w:cs="Times New Roman"/>
          <w:sz w:val="24"/>
          <w:szCs w:val="24"/>
        </w:rPr>
        <w:t xml:space="preserve">” con un tipo techo o “CAP” del 6.50% y un tipo suelo o “Floor” del 4.65% en el que si, en el momento de las liquidaciones el tipo de interés de referencia, Euribor, se encontraba entre las barreras CAP y Floor, el resultado de la liquidación </w:t>
      </w:r>
      <w:r w:rsidRPr="00EC5079">
        <w:rPr>
          <w:rFonts w:ascii="Times New Roman" w:eastAsiaTheme="minorHAnsi" w:hAnsi="Times New Roman" w:cs="Times New Roman"/>
          <w:sz w:val="24"/>
          <w:szCs w:val="24"/>
          <w:u w:val="single"/>
        </w:rPr>
        <w:t>era inocuo</w:t>
      </w:r>
      <w:r w:rsidRPr="00EC5079">
        <w:rPr>
          <w:rFonts w:ascii="Times New Roman" w:eastAsiaTheme="minorHAnsi" w:hAnsi="Times New Roman" w:cs="Times New Roman"/>
          <w:sz w:val="24"/>
          <w:szCs w:val="24"/>
        </w:rPr>
        <w:t xml:space="preserve">. En consecuencia, en agosto de 2009, fecha en la que la primera liquidación debiera haberse producido, no se llegó a producir liquidación alguna porque el tipo de referencia fijado dos días antes del inicio del periodo (de agosto de 2008 a agosto de 2009) estaba dentro de las barreras. </w:t>
      </w:r>
    </w:p>
    <w:p w:rsidR="00B1053B" w:rsidRPr="00EC5079" w:rsidRDefault="00416D2E"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 xml:space="preserve">La sentencia que recurrimos comete el error de considerar que el silencio de los representantes de la empresa durante las liquidaciones positivas haría que el error fuese inexcusable, porque </w:t>
      </w:r>
      <w:r w:rsidRPr="00EC5079">
        <w:rPr>
          <w:rFonts w:ascii="Times New Roman" w:eastAsiaTheme="minorHAnsi" w:hAnsi="Times New Roman" w:cs="Times New Roman"/>
          <w:b/>
          <w:sz w:val="24"/>
          <w:szCs w:val="24"/>
          <w:u w:val="single"/>
        </w:rPr>
        <w:t>no se produjeron tales liquidaciones</w:t>
      </w:r>
      <w:r w:rsidR="00F66024" w:rsidRPr="00EC5079">
        <w:rPr>
          <w:rFonts w:ascii="Times New Roman" w:eastAsiaTheme="minorHAnsi" w:hAnsi="Times New Roman" w:cs="Times New Roman"/>
          <w:b/>
          <w:sz w:val="24"/>
          <w:szCs w:val="24"/>
          <w:u w:val="single"/>
        </w:rPr>
        <w:t xml:space="preserve"> positivas</w:t>
      </w:r>
      <w:r w:rsidR="00F66024" w:rsidRPr="00EC5079">
        <w:rPr>
          <w:rFonts w:ascii="Times New Roman" w:eastAsiaTheme="minorHAnsi" w:hAnsi="Times New Roman" w:cs="Times New Roman"/>
          <w:sz w:val="24"/>
          <w:szCs w:val="24"/>
        </w:rPr>
        <w:t xml:space="preserve">. </w:t>
      </w:r>
      <w:r w:rsidR="002A224E" w:rsidRPr="00EC5079">
        <w:rPr>
          <w:rFonts w:ascii="Times New Roman" w:eastAsiaTheme="minorHAnsi" w:hAnsi="Times New Roman" w:cs="Times New Roman"/>
          <w:sz w:val="24"/>
          <w:szCs w:val="24"/>
        </w:rPr>
        <w:t xml:space="preserve">Siendo, por otro lado, </w:t>
      </w:r>
      <w:r w:rsidRPr="00EC5079">
        <w:rPr>
          <w:rFonts w:ascii="Times New Roman" w:eastAsiaTheme="minorHAnsi" w:hAnsi="Times New Roman" w:cs="Times New Roman"/>
          <w:sz w:val="24"/>
          <w:szCs w:val="24"/>
        </w:rPr>
        <w:t xml:space="preserve">lógico que quien ha contratado un producto en la creencia de que iba a protegerlo frente a las subidas de los tipos de interés, </w:t>
      </w:r>
      <w:r w:rsidRPr="00EC5079">
        <w:rPr>
          <w:rFonts w:ascii="Times New Roman" w:eastAsiaTheme="minorHAnsi" w:hAnsi="Times New Roman" w:cs="Times New Roman"/>
          <w:b/>
          <w:sz w:val="24"/>
          <w:szCs w:val="24"/>
        </w:rPr>
        <w:t>se queje precisamente con la liquidación negativa</w:t>
      </w:r>
      <w:r w:rsidRPr="00EC5079">
        <w:rPr>
          <w:rFonts w:ascii="Times New Roman" w:eastAsiaTheme="minorHAnsi" w:hAnsi="Times New Roman" w:cs="Times New Roman"/>
          <w:sz w:val="24"/>
          <w:szCs w:val="24"/>
        </w:rPr>
        <w:t xml:space="preserve">, porque es cuando comprende que el producto no funcionaba conforme a lo manifestado. </w:t>
      </w:r>
    </w:p>
    <w:p w:rsidR="00614C79" w:rsidRPr="00EC5079" w:rsidRDefault="00B43F0E"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 xml:space="preserve">Tampoco consta </w:t>
      </w:r>
      <w:r w:rsidRPr="00B86120">
        <w:rPr>
          <w:rFonts w:ascii="Times New Roman" w:eastAsiaTheme="minorHAnsi" w:hAnsi="Times New Roman" w:cs="Times New Roman"/>
          <w:b/>
          <w:sz w:val="24"/>
          <w:szCs w:val="24"/>
        </w:rPr>
        <w:t>información sobre el coste de cancelación</w:t>
      </w:r>
      <w:r w:rsidRPr="00EC5079">
        <w:rPr>
          <w:rFonts w:ascii="Times New Roman" w:eastAsiaTheme="minorHAnsi" w:hAnsi="Times New Roman" w:cs="Times New Roman"/>
          <w:sz w:val="24"/>
          <w:szCs w:val="24"/>
        </w:rPr>
        <w:t xml:space="preserve"> del producto más allá de la críptica mención en el contrato de que esta se realizaría “</w:t>
      </w:r>
      <w:r w:rsidRPr="00EC5079">
        <w:rPr>
          <w:rFonts w:ascii="Times New Roman" w:eastAsiaTheme="minorHAnsi" w:hAnsi="Times New Roman" w:cs="Times New Roman"/>
          <w:i/>
          <w:sz w:val="24"/>
          <w:szCs w:val="24"/>
        </w:rPr>
        <w:t>a precios de mercado</w:t>
      </w:r>
      <w:r w:rsidRPr="00EC5079">
        <w:rPr>
          <w:rFonts w:ascii="Times New Roman" w:eastAsiaTheme="minorHAnsi" w:hAnsi="Times New Roman" w:cs="Times New Roman"/>
          <w:sz w:val="24"/>
          <w:szCs w:val="24"/>
        </w:rPr>
        <w:t xml:space="preserve">”. </w:t>
      </w:r>
      <w:r w:rsidR="00614C79" w:rsidRPr="00EC5079">
        <w:rPr>
          <w:rFonts w:ascii="Times New Roman" w:eastAsiaTheme="minorHAnsi" w:hAnsi="Times New Roman" w:cs="Times New Roman"/>
          <w:sz w:val="24"/>
          <w:szCs w:val="24"/>
        </w:rPr>
        <w:t xml:space="preserve">Al tratarse de un contrato aleatorio, al banco no le era posible conocer con exactitud el importe de dicha cancelación, como tampoco el de las liquidaciones periódicas. Pero sí le era exigible y tenía la oportunidad de informar </w:t>
      </w:r>
      <w:r w:rsidR="00614C79" w:rsidRPr="00EC5079">
        <w:rPr>
          <w:rFonts w:ascii="Times New Roman" w:eastAsiaTheme="minorHAnsi" w:hAnsi="Times New Roman" w:cs="Times New Roman"/>
          <w:b/>
          <w:sz w:val="24"/>
          <w:szCs w:val="24"/>
        </w:rPr>
        <w:t>a qué mercado</w:t>
      </w:r>
      <w:r w:rsidR="00614C79" w:rsidRPr="00EC5079">
        <w:rPr>
          <w:rFonts w:ascii="Times New Roman" w:eastAsiaTheme="minorHAnsi" w:hAnsi="Times New Roman" w:cs="Times New Roman"/>
          <w:sz w:val="24"/>
          <w:szCs w:val="24"/>
        </w:rPr>
        <w:t xml:space="preserve"> se refería dicha expresión, </w:t>
      </w:r>
      <w:r w:rsidR="00614C79" w:rsidRPr="00EC5079">
        <w:rPr>
          <w:rFonts w:ascii="Times New Roman" w:eastAsiaTheme="minorHAnsi" w:hAnsi="Times New Roman" w:cs="Times New Roman"/>
          <w:b/>
          <w:sz w:val="24"/>
          <w:szCs w:val="24"/>
        </w:rPr>
        <w:t xml:space="preserve">cuál era el precio de mercado de ese producto en el momento de la </w:t>
      </w:r>
      <w:r w:rsidR="00614C79" w:rsidRPr="00EC5079">
        <w:rPr>
          <w:rFonts w:ascii="Times New Roman" w:eastAsiaTheme="minorHAnsi" w:hAnsi="Times New Roman" w:cs="Times New Roman"/>
          <w:b/>
          <w:sz w:val="24"/>
          <w:szCs w:val="24"/>
        </w:rPr>
        <w:lastRenderedPageBreak/>
        <w:t>suscripción</w:t>
      </w:r>
      <w:r w:rsidR="00614C79" w:rsidRPr="00EC5079">
        <w:rPr>
          <w:rFonts w:ascii="Times New Roman" w:eastAsiaTheme="minorHAnsi" w:hAnsi="Times New Roman" w:cs="Times New Roman"/>
          <w:sz w:val="24"/>
          <w:szCs w:val="24"/>
        </w:rPr>
        <w:t xml:space="preserve">, </w:t>
      </w:r>
      <w:r w:rsidR="00614C79" w:rsidRPr="00EC5079">
        <w:rPr>
          <w:rFonts w:ascii="Times New Roman" w:eastAsiaTheme="minorHAnsi" w:hAnsi="Times New Roman" w:cs="Times New Roman"/>
          <w:b/>
          <w:sz w:val="24"/>
          <w:szCs w:val="24"/>
        </w:rPr>
        <w:t>cómo había evolucionado ese precio</w:t>
      </w:r>
      <w:r w:rsidR="00614C79" w:rsidRPr="00EC5079">
        <w:rPr>
          <w:rFonts w:ascii="Times New Roman" w:eastAsiaTheme="minorHAnsi" w:hAnsi="Times New Roman" w:cs="Times New Roman"/>
          <w:sz w:val="24"/>
          <w:szCs w:val="24"/>
        </w:rPr>
        <w:t xml:space="preserve">, que </w:t>
      </w:r>
      <w:r w:rsidR="00614C79" w:rsidRPr="00EC5079">
        <w:rPr>
          <w:rFonts w:ascii="Times New Roman" w:eastAsiaTheme="minorHAnsi" w:hAnsi="Times New Roman" w:cs="Times New Roman"/>
          <w:b/>
          <w:sz w:val="24"/>
          <w:szCs w:val="24"/>
        </w:rPr>
        <w:t>el precio podría ser mayor o menor</w:t>
      </w:r>
      <w:r w:rsidR="00614C79" w:rsidRPr="00EC5079">
        <w:rPr>
          <w:rFonts w:ascii="Times New Roman" w:eastAsiaTheme="minorHAnsi" w:hAnsi="Times New Roman" w:cs="Times New Roman"/>
          <w:sz w:val="24"/>
          <w:szCs w:val="24"/>
        </w:rPr>
        <w:t xml:space="preserve"> dependiendo de que se tardase más o menos en cancelar el producto, así como </w:t>
      </w:r>
      <w:r w:rsidR="00614C79" w:rsidRPr="00EC5079">
        <w:rPr>
          <w:rFonts w:ascii="Times New Roman" w:eastAsiaTheme="minorHAnsi" w:hAnsi="Times New Roman" w:cs="Times New Roman"/>
          <w:b/>
          <w:sz w:val="24"/>
          <w:szCs w:val="24"/>
        </w:rPr>
        <w:t>un ejemplo teórico</w:t>
      </w:r>
      <w:r w:rsidR="00614C79" w:rsidRPr="00EC5079">
        <w:rPr>
          <w:rFonts w:ascii="Times New Roman" w:eastAsiaTheme="minorHAnsi" w:hAnsi="Times New Roman" w:cs="Times New Roman"/>
          <w:sz w:val="24"/>
          <w:szCs w:val="24"/>
        </w:rPr>
        <w:t xml:space="preserve"> de dicho importe de cancelación, en el momento de la suscripción. </w:t>
      </w:r>
    </w:p>
    <w:p w:rsidR="00614C79" w:rsidRPr="00EC5079" w:rsidRDefault="00614C79"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 xml:space="preserve">Con ello, la empresa hubiese sido consciente de que, en caso de que, si en algún momento quisiese cancelar el producto, posibilidad que se contemplaba expresamente en la página 6 de la confirmación, último párrafo del contrato, tendría que abonar un coste elevado. </w:t>
      </w:r>
      <w:r w:rsidR="00EC5079" w:rsidRPr="00EC5079">
        <w:rPr>
          <w:rFonts w:ascii="Times New Roman" w:eastAsiaTheme="minorHAnsi" w:hAnsi="Times New Roman" w:cs="Times New Roman"/>
          <w:sz w:val="24"/>
          <w:szCs w:val="24"/>
        </w:rPr>
        <w:t xml:space="preserve">En consecuencia esa ausencia de información sobre el coste de cancelación indudablemente incide en la formación de consentimiento del representante de la mercantil recurrente y sin embargo nada de ello ha justificado la sentencia que recurrimos aun cuando se alegó por esta parte en el recurso de apelación. </w:t>
      </w:r>
    </w:p>
    <w:p w:rsidR="00B43F0E" w:rsidRPr="00EC5079" w:rsidRDefault="00B43F0E"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t xml:space="preserve">Y sobre tal extremo la reciente </w:t>
      </w:r>
      <w:r w:rsidRPr="00EC5079">
        <w:rPr>
          <w:rFonts w:ascii="Times New Roman" w:eastAsiaTheme="minorHAnsi" w:hAnsi="Times New Roman" w:cs="Times New Roman"/>
          <w:b/>
          <w:sz w:val="24"/>
          <w:szCs w:val="24"/>
        </w:rPr>
        <w:t>Sentencia del Tribunal Supremo de 17 de abril de 2017 nº 239/2017</w:t>
      </w:r>
      <w:r w:rsidRPr="00EC5079">
        <w:rPr>
          <w:rFonts w:ascii="Times New Roman" w:eastAsiaTheme="minorHAnsi" w:hAnsi="Times New Roman" w:cs="Times New Roman"/>
          <w:sz w:val="24"/>
          <w:szCs w:val="24"/>
        </w:rPr>
        <w:t xml:space="preserve">  ha reiterado</w:t>
      </w:r>
      <w:r w:rsidR="00B1053B" w:rsidRPr="00EC5079">
        <w:rPr>
          <w:rFonts w:ascii="Times New Roman" w:eastAsiaTheme="minorHAnsi" w:hAnsi="Times New Roman" w:cs="Times New Roman"/>
          <w:sz w:val="24"/>
          <w:szCs w:val="24"/>
        </w:rPr>
        <w:t xml:space="preserve"> lo que ya dijese la </w:t>
      </w:r>
      <w:r w:rsidR="00B1053B" w:rsidRPr="00EC5079">
        <w:rPr>
          <w:rFonts w:ascii="Times New Roman" w:eastAsiaTheme="minorHAnsi" w:hAnsi="Times New Roman" w:cs="Times New Roman"/>
          <w:b/>
          <w:sz w:val="24"/>
          <w:szCs w:val="24"/>
        </w:rPr>
        <w:t>Sentencia del TS S</w:t>
      </w:r>
      <w:r w:rsidR="00B1053B" w:rsidRPr="00EC5079">
        <w:rPr>
          <w:rFonts w:ascii="Times New Roman" w:hAnsi="Times New Roman" w:cs="Times New Roman"/>
          <w:b/>
          <w:sz w:val="24"/>
          <w:szCs w:val="24"/>
        </w:rPr>
        <w:t>entencia de 5 de octubre de 2016, nº 594</w:t>
      </w:r>
      <w:r w:rsidR="00614C79" w:rsidRPr="00EC5079">
        <w:rPr>
          <w:rFonts w:ascii="Times New Roman" w:hAnsi="Times New Roman" w:cs="Times New Roman"/>
          <w:sz w:val="24"/>
          <w:szCs w:val="24"/>
        </w:rPr>
        <w:t xml:space="preserve"> o </w:t>
      </w:r>
      <w:r w:rsidR="00614C79" w:rsidRPr="00EC5079">
        <w:rPr>
          <w:rFonts w:ascii="Times New Roman" w:hAnsi="Times New Roman" w:cs="Times New Roman"/>
          <w:b/>
          <w:sz w:val="24"/>
          <w:szCs w:val="24"/>
        </w:rPr>
        <w:t>Sentencia del 15 de septiembre de 2015, nº 491</w:t>
      </w:r>
      <w:r w:rsidR="00B1053B" w:rsidRPr="00EC5079">
        <w:rPr>
          <w:rFonts w:ascii="Times New Roman" w:hAnsi="Times New Roman" w:cs="Times New Roman"/>
          <w:sz w:val="24"/>
          <w:szCs w:val="24"/>
        </w:rPr>
        <w:t xml:space="preserve"> al manifestar </w:t>
      </w:r>
      <w:r w:rsidRPr="00EC5079">
        <w:rPr>
          <w:rFonts w:ascii="Times New Roman" w:eastAsiaTheme="minorHAnsi" w:hAnsi="Times New Roman" w:cs="Times New Roman"/>
          <w:sz w:val="24"/>
          <w:szCs w:val="24"/>
        </w:rPr>
        <w:t xml:space="preserve">que: </w:t>
      </w:r>
    </w:p>
    <w:p w:rsidR="00B43F0E" w:rsidRPr="00EC5079" w:rsidRDefault="00B43F0E" w:rsidP="00B43F0E">
      <w:pPr>
        <w:tabs>
          <w:tab w:val="left" w:pos="142"/>
          <w:tab w:val="left" w:pos="567"/>
          <w:tab w:val="left" w:pos="709"/>
          <w:tab w:val="left" w:pos="851"/>
          <w:tab w:val="left" w:pos="1134"/>
          <w:tab w:val="left" w:pos="1418"/>
        </w:tabs>
        <w:spacing w:before="100" w:beforeAutospacing="1" w:after="100" w:afterAutospacing="1" w:line="360" w:lineRule="auto"/>
        <w:ind w:left="567"/>
        <w:jc w:val="both"/>
        <w:rPr>
          <w:rFonts w:ascii="Times New Roman" w:hAnsi="Times New Roman" w:cs="Times New Roman"/>
          <w:i/>
          <w:sz w:val="20"/>
        </w:rPr>
      </w:pPr>
      <w:r w:rsidRPr="00EC5079">
        <w:rPr>
          <w:rFonts w:ascii="Times New Roman" w:hAnsi="Times New Roman" w:cs="Times New Roman"/>
          <w:i/>
          <w:sz w:val="20"/>
        </w:rPr>
        <w:t>“… con relación a la necesaria información del coste de cancelación anticipada, también debe concluirse que la entidad financiera no cumplió con dicho deber de información a tenor de la doctrina jurisprudencial de esta sala, sentencia 594/2016, de 5 de octubre , donde se ha declarado lo siguiente: «[...]En el ámbito del incumplimiento de los deberes de información es especialmente destacable como el banco ha de informar al cliente sobre cuál era el valor de mercado inicial del swap, o, al menos, qué cantidad debería pagarle el cliente en concepto de indemnización por la cancelación anticipada si se produjera en el momento de la contratación, puesto que tales magnitudes están relacionadas con el pronóstico, sobre la evolución de la variable económica de referencia hecho por la empresa de inversión para fijar los términos del contrato de modo que pueda reportarle un beneficio, y permite calibrar el riesgo que supone para el cliente. Como hemos dicho antes, el banco no está obligado a informar al cliente de su previsión sobre la evolución de la inflación, pero si sobre el reflejo que tal previsión tiene en el momento de contratación del swap, pues es determinante del riesgo que asume el cliente y le permite elegir, entre varias ofertas, la que resulte más conveniente. De no hacerlo así, la «apuesta» que supone el swap se produciría en un terreno de juego injustificadamente favorable para el banco.» En orden a esta concreta obligación, es necesaria una información suficientemente precisa y clara sobre el coste de cancelación anticipada del swap. La mención de que el coste de cancelación se fijaría por el Banco de acuerdo con los precios de mercado, como hemos dicho en anteriores resoluciones, más que de una información, se trata de una fórmula que encierra una absoluta falta de información: de qué mercado se trata, qué parámetros se tomarán en consideración, la expresión de algunos ejemplos, como cuál sería el coste de cancelación en la fecha de concertación del contrato, etc. »…”</w:t>
      </w:r>
    </w:p>
    <w:p w:rsidR="00EC5079" w:rsidRPr="00EC5079" w:rsidRDefault="00EC5079" w:rsidP="00416D2E">
      <w:pPr>
        <w:autoSpaceDE w:val="0"/>
        <w:autoSpaceDN w:val="0"/>
        <w:adjustRightInd w:val="0"/>
        <w:spacing w:line="360" w:lineRule="auto"/>
        <w:jc w:val="both"/>
        <w:rPr>
          <w:rFonts w:ascii="Times New Roman" w:eastAsiaTheme="minorHAnsi" w:hAnsi="Times New Roman" w:cs="Times New Roman"/>
          <w:sz w:val="24"/>
          <w:szCs w:val="24"/>
        </w:rPr>
      </w:pPr>
      <w:r w:rsidRPr="00EC5079">
        <w:rPr>
          <w:rFonts w:ascii="Times New Roman" w:eastAsiaTheme="minorHAnsi" w:hAnsi="Times New Roman" w:cs="Times New Roman"/>
          <w:sz w:val="24"/>
          <w:szCs w:val="24"/>
        </w:rPr>
        <w:lastRenderedPageBreak/>
        <w:t xml:space="preserve">Todo ello, porque no basta que “aparentemente” aparezca cumplido el deber de información por el banco. Como ha reiterado la jurisprudencia, precisamente contra Banco Santander, no se trata de que el banco pudiera adivinar la evolución futura de los tipos de interés, </w:t>
      </w:r>
      <w:r w:rsidRPr="00EC5079">
        <w:rPr>
          <w:rFonts w:ascii="Times New Roman" w:eastAsiaTheme="minorHAnsi" w:hAnsi="Times New Roman" w:cs="Times New Roman"/>
          <w:b/>
          <w:sz w:val="24"/>
          <w:szCs w:val="24"/>
        </w:rPr>
        <w:t>sino de que ofreciera al cliente una información completa, suficiente y comprensible de las posibles consecuencias de la fluctuación al alza o a la baja</w:t>
      </w:r>
      <w:r w:rsidRPr="00EC5079">
        <w:rPr>
          <w:rFonts w:ascii="Times New Roman" w:eastAsiaTheme="minorHAnsi" w:hAnsi="Times New Roman" w:cs="Times New Roman"/>
          <w:sz w:val="24"/>
          <w:szCs w:val="24"/>
        </w:rPr>
        <w:t xml:space="preserve"> de los tipos de interés y de los elevados costes de la cancelación anticipada. </w:t>
      </w:r>
    </w:p>
    <w:p w:rsidR="00707F82" w:rsidRPr="00EC5079" w:rsidRDefault="00EC5079" w:rsidP="00EC5079">
      <w:pPr>
        <w:autoSpaceDE w:val="0"/>
        <w:autoSpaceDN w:val="0"/>
        <w:adjustRightInd w:val="0"/>
        <w:spacing w:line="360" w:lineRule="auto"/>
        <w:jc w:val="both"/>
        <w:rPr>
          <w:rFonts w:ascii="Times New Roman" w:hAnsi="Times New Roman" w:cs="Times New Roman"/>
          <w:sz w:val="24"/>
          <w:szCs w:val="24"/>
        </w:rPr>
      </w:pPr>
      <w:r w:rsidRPr="00EC5079">
        <w:rPr>
          <w:rFonts w:ascii="Times New Roman" w:eastAsiaTheme="minorHAnsi" w:hAnsi="Times New Roman" w:cs="Times New Roman"/>
          <w:sz w:val="24"/>
          <w:szCs w:val="24"/>
        </w:rPr>
        <w:t xml:space="preserve">Y precisamente eso es lo que no ha valorado la sentencia que recurrimos apartándose de los criterios  </w:t>
      </w:r>
      <w:r w:rsidR="00B43F0E" w:rsidRPr="00EC5079">
        <w:rPr>
          <w:rFonts w:ascii="Times New Roman" w:hAnsi="Times New Roman" w:cs="Times New Roman"/>
          <w:sz w:val="24"/>
          <w:szCs w:val="24"/>
        </w:rPr>
        <w:t xml:space="preserve">doctrinales y legales para resolver el objeto del pleito </w:t>
      </w:r>
      <w:r w:rsidRPr="00EC5079">
        <w:rPr>
          <w:rFonts w:ascii="Times New Roman" w:hAnsi="Times New Roman" w:cs="Times New Roman"/>
          <w:sz w:val="24"/>
          <w:szCs w:val="24"/>
        </w:rPr>
        <w:t xml:space="preserve">por lo que, </w:t>
      </w:r>
      <w:r w:rsidR="00B43F0E" w:rsidRPr="00EC5079">
        <w:rPr>
          <w:rFonts w:ascii="Times New Roman" w:hAnsi="Times New Roman" w:cs="Times New Roman"/>
          <w:sz w:val="24"/>
          <w:szCs w:val="24"/>
        </w:rPr>
        <w:t xml:space="preserve">interesamos </w:t>
      </w:r>
      <w:r w:rsidR="00FE16FB" w:rsidRPr="00EC5079">
        <w:rPr>
          <w:rFonts w:ascii="Times New Roman" w:hAnsi="Times New Roman" w:cs="Times New Roman"/>
          <w:sz w:val="24"/>
          <w:szCs w:val="24"/>
        </w:rPr>
        <w:t xml:space="preserve">previo sus </w:t>
      </w:r>
      <w:r w:rsidRPr="00EC5079">
        <w:rPr>
          <w:rFonts w:ascii="Times New Roman" w:hAnsi="Times New Roman" w:cs="Times New Roman"/>
          <w:sz w:val="24"/>
          <w:szCs w:val="24"/>
        </w:rPr>
        <w:t>trámites</w:t>
      </w:r>
      <w:r w:rsidR="00FE16FB" w:rsidRPr="00EC5079">
        <w:rPr>
          <w:rFonts w:ascii="Times New Roman" w:hAnsi="Times New Roman" w:cs="Times New Roman"/>
          <w:sz w:val="24"/>
          <w:szCs w:val="24"/>
        </w:rPr>
        <w:t>, se est</w:t>
      </w:r>
      <w:r w:rsidRPr="00EC5079">
        <w:rPr>
          <w:rFonts w:ascii="Times New Roman" w:hAnsi="Times New Roman" w:cs="Times New Roman"/>
          <w:sz w:val="24"/>
          <w:szCs w:val="24"/>
        </w:rPr>
        <w:t xml:space="preserve">ime el presente recurso, case la sentencia y en su lugar, asumiendo la instancia, dicte una resolución estimando nuestro recurso de apelación y estimando la demanda presentada. </w:t>
      </w:r>
      <w:r w:rsidR="00FE16FB" w:rsidRPr="00EC5079">
        <w:rPr>
          <w:rFonts w:ascii="Times New Roman" w:hAnsi="Times New Roman" w:cs="Times New Roman"/>
          <w:sz w:val="24"/>
          <w:szCs w:val="24"/>
        </w:rPr>
        <w:t xml:space="preserve"> </w:t>
      </w:r>
    </w:p>
    <w:p w:rsidR="00FE16FB" w:rsidRPr="00EC5079" w:rsidRDefault="00FE16FB" w:rsidP="003F3C6D">
      <w:pPr>
        <w:tabs>
          <w:tab w:val="left" w:pos="142"/>
          <w:tab w:val="left" w:pos="567"/>
          <w:tab w:val="left" w:pos="709"/>
          <w:tab w:val="left" w:pos="851"/>
          <w:tab w:val="left" w:pos="1134"/>
          <w:tab w:val="left" w:pos="1418"/>
        </w:tabs>
        <w:spacing w:before="100" w:beforeAutospacing="1" w:after="100" w:afterAutospacing="1" w:line="240" w:lineRule="auto"/>
        <w:ind w:left="284" w:firstLine="426"/>
        <w:jc w:val="both"/>
        <w:rPr>
          <w:rFonts w:ascii="Times New Roman" w:hAnsi="Times New Roman" w:cs="Times New Roman"/>
          <w:i/>
          <w:sz w:val="24"/>
          <w:szCs w:val="24"/>
        </w:rPr>
      </w:pPr>
    </w:p>
    <w:p w:rsidR="003F3C6D" w:rsidRPr="00EC5079" w:rsidRDefault="003F3C6D" w:rsidP="003F3C6D">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color w:val="000000"/>
          <w:sz w:val="24"/>
          <w:szCs w:val="24"/>
          <w:lang w:eastAsia="es-ES"/>
        </w:rPr>
        <w:t>Por todo ello</w:t>
      </w:r>
      <w:r w:rsidR="00EC5079" w:rsidRPr="00EC5079">
        <w:rPr>
          <w:rFonts w:ascii="Times New Roman" w:hAnsi="Times New Roman" w:cs="Times New Roman"/>
          <w:color w:val="000000"/>
          <w:sz w:val="24"/>
          <w:szCs w:val="24"/>
          <w:lang w:eastAsia="es-ES"/>
        </w:rPr>
        <w:t>, en su virtud</w:t>
      </w:r>
    </w:p>
    <w:p w:rsidR="003F3C6D" w:rsidRPr="00EC5079" w:rsidRDefault="003F3C6D" w:rsidP="003F3C6D">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highlight w:val="yellow"/>
          <w:lang w:eastAsia="es-ES"/>
        </w:rPr>
      </w:pPr>
      <w:r w:rsidRPr="00EC5079">
        <w:rPr>
          <w:rFonts w:ascii="Times New Roman" w:hAnsi="Times New Roman" w:cs="Times New Roman"/>
          <w:b/>
          <w:bCs/>
          <w:color w:val="000000"/>
          <w:sz w:val="24"/>
          <w:szCs w:val="24"/>
          <w:lang w:eastAsia="es-ES"/>
        </w:rPr>
        <w:t xml:space="preserve">SUPLICO A LA SALA PARA ANTE LA SALA PRIMERA DEL TRIBUNAL SUPREMO: </w:t>
      </w:r>
      <w:r w:rsidRPr="00EC5079">
        <w:rPr>
          <w:rFonts w:ascii="Times New Roman" w:hAnsi="Times New Roman" w:cs="Times New Roman"/>
          <w:bCs/>
          <w:color w:val="000000"/>
          <w:sz w:val="24"/>
          <w:szCs w:val="24"/>
          <w:lang w:eastAsia="es-ES"/>
        </w:rPr>
        <w:t>Q</w:t>
      </w:r>
      <w:r w:rsidRPr="00EC5079">
        <w:rPr>
          <w:rFonts w:ascii="Times New Roman" w:hAnsi="Times New Roman" w:cs="Times New Roman"/>
          <w:color w:val="000000"/>
          <w:sz w:val="24"/>
          <w:szCs w:val="24"/>
          <w:lang w:eastAsia="es-ES"/>
        </w:rPr>
        <w:t xml:space="preserve">ue, teniendo por presentado este escrito, con sus copias, tenga por interpuestos </w:t>
      </w:r>
      <w:r w:rsidRPr="00EC5079">
        <w:rPr>
          <w:rFonts w:ascii="Times New Roman" w:hAnsi="Times New Roman" w:cs="Times New Roman"/>
          <w:b/>
          <w:bCs/>
          <w:color w:val="000000"/>
          <w:sz w:val="24"/>
          <w:szCs w:val="24"/>
          <w:lang w:eastAsia="es-ES"/>
        </w:rPr>
        <w:t>RECURSO EXTRAORDINARIO POR INFRACCIÓN PROCESAL</w:t>
      </w:r>
      <w:r w:rsidRPr="00EC5079">
        <w:rPr>
          <w:rFonts w:ascii="Times New Roman" w:hAnsi="Times New Roman" w:cs="Times New Roman"/>
          <w:color w:val="000000"/>
          <w:sz w:val="24"/>
          <w:szCs w:val="24"/>
          <w:lang w:eastAsia="es-ES"/>
        </w:rPr>
        <w:t xml:space="preserve"> y </w:t>
      </w:r>
      <w:r w:rsidRPr="00EC5079">
        <w:rPr>
          <w:rFonts w:ascii="Times New Roman" w:hAnsi="Times New Roman" w:cs="Times New Roman"/>
          <w:b/>
          <w:bCs/>
          <w:color w:val="000000"/>
          <w:sz w:val="24"/>
          <w:szCs w:val="24"/>
          <w:lang w:eastAsia="es-ES"/>
        </w:rPr>
        <w:t xml:space="preserve">RECURSO DE CASACIÓN </w:t>
      </w:r>
      <w:r w:rsidRPr="00EC5079">
        <w:rPr>
          <w:rFonts w:ascii="Times New Roman" w:hAnsi="Times New Roman" w:cs="Times New Roman"/>
          <w:color w:val="000000"/>
          <w:sz w:val="24"/>
          <w:szCs w:val="24"/>
          <w:lang w:eastAsia="es-ES"/>
        </w:rPr>
        <w:t xml:space="preserve">contra la Sentencia dictada por esta Sala de fecha </w:t>
      </w:r>
      <w:r w:rsidR="00FE16FB" w:rsidRPr="00EC5079">
        <w:rPr>
          <w:rFonts w:ascii="Times New Roman" w:hAnsi="Times New Roman" w:cs="Times New Roman"/>
          <w:color w:val="000000"/>
          <w:sz w:val="24"/>
          <w:szCs w:val="24"/>
          <w:lang w:eastAsia="es-ES"/>
        </w:rPr>
        <w:t>24 de marzo de 2017</w:t>
      </w:r>
      <w:r w:rsidRPr="00EC5079">
        <w:rPr>
          <w:rFonts w:ascii="Times New Roman" w:hAnsi="Times New Roman" w:cs="Times New Roman"/>
          <w:color w:val="000000"/>
          <w:sz w:val="24"/>
          <w:szCs w:val="24"/>
          <w:lang w:eastAsia="es-ES"/>
        </w:rPr>
        <w:t xml:space="preserve"> , de modo que, previos los trámites legales procedentes, por el Tribunal se: </w:t>
      </w:r>
    </w:p>
    <w:p w:rsidR="003F3C6D" w:rsidRPr="00EC5079" w:rsidRDefault="00EC5079" w:rsidP="00EC5079">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color w:val="000000"/>
          <w:sz w:val="24"/>
          <w:szCs w:val="24"/>
          <w:lang w:eastAsia="es-ES"/>
        </w:rPr>
        <w:t xml:space="preserve">- </w:t>
      </w:r>
      <w:r w:rsidR="003F3C6D" w:rsidRPr="00EC5079">
        <w:rPr>
          <w:rFonts w:ascii="Times New Roman" w:hAnsi="Times New Roman" w:cs="Times New Roman"/>
          <w:color w:val="000000"/>
          <w:sz w:val="24"/>
          <w:szCs w:val="24"/>
          <w:lang w:eastAsia="es-ES"/>
        </w:rPr>
        <w:t>Dicte Auto de Admisión de ambos recursos interpuestos por medio del presente escrito y previos los trámites legales oportunos</w:t>
      </w:r>
      <w:r w:rsidRPr="00EC5079">
        <w:rPr>
          <w:rFonts w:ascii="Times New Roman" w:hAnsi="Times New Roman" w:cs="Times New Roman"/>
          <w:color w:val="000000"/>
          <w:sz w:val="24"/>
          <w:szCs w:val="24"/>
          <w:lang w:eastAsia="es-ES"/>
        </w:rPr>
        <w:t xml:space="preserve">. </w:t>
      </w:r>
    </w:p>
    <w:p w:rsidR="00EC5079" w:rsidRPr="00EC5079" w:rsidRDefault="00EC5079" w:rsidP="00EC5079">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color w:val="000000"/>
          <w:sz w:val="24"/>
          <w:szCs w:val="24"/>
          <w:lang w:eastAsia="es-ES"/>
        </w:rPr>
        <w:t xml:space="preserve"> -</w:t>
      </w:r>
      <w:r w:rsidR="003F3C6D" w:rsidRPr="00EC5079">
        <w:rPr>
          <w:rFonts w:ascii="Times New Roman" w:hAnsi="Times New Roman" w:cs="Times New Roman"/>
          <w:color w:val="000000"/>
          <w:sz w:val="24"/>
          <w:szCs w:val="24"/>
          <w:lang w:eastAsia="es-ES"/>
        </w:rPr>
        <w:t xml:space="preserve">Dicte sentencia por la que, estimando el recurso extraordinario por infracción procesal, se ordene que se repongan las actuaciones al estado y momento en que se incurrió en la infracción o vulneración denunciada, es decir, al </w:t>
      </w:r>
      <w:r w:rsidR="00B65FCA">
        <w:rPr>
          <w:rFonts w:ascii="Times New Roman" w:hAnsi="Times New Roman" w:cs="Times New Roman"/>
          <w:color w:val="000000"/>
          <w:sz w:val="24"/>
          <w:szCs w:val="24"/>
          <w:lang w:eastAsia="es-ES"/>
        </w:rPr>
        <w:t xml:space="preserve">momento de dictar la sentencia. </w:t>
      </w:r>
    </w:p>
    <w:p w:rsidR="00EC5079" w:rsidRDefault="00EC5079" w:rsidP="00B65FCA">
      <w:pPr>
        <w:autoSpaceDE w:val="0"/>
        <w:autoSpaceDN w:val="0"/>
        <w:adjustRightInd w:val="0"/>
        <w:spacing w:after="0" w:line="360" w:lineRule="auto"/>
        <w:ind w:firstLine="426"/>
        <w:jc w:val="both"/>
        <w:rPr>
          <w:rFonts w:ascii="Times New Roman" w:hAnsi="Times New Roman" w:cs="Times New Roman"/>
          <w:color w:val="000000"/>
          <w:sz w:val="24"/>
          <w:szCs w:val="24"/>
        </w:rPr>
      </w:pPr>
      <w:r w:rsidRPr="00EC5079">
        <w:rPr>
          <w:rFonts w:ascii="Times New Roman" w:hAnsi="Times New Roman" w:cs="Times New Roman"/>
          <w:color w:val="000000"/>
          <w:sz w:val="24"/>
          <w:szCs w:val="24"/>
          <w:lang w:eastAsia="es-ES"/>
        </w:rPr>
        <w:t>-</w:t>
      </w:r>
      <w:r w:rsidR="003F3C6D" w:rsidRPr="005B753F">
        <w:rPr>
          <w:rFonts w:ascii="Times New Roman" w:hAnsi="Times New Roman" w:cs="Times New Roman"/>
          <w:color w:val="000000"/>
          <w:sz w:val="24"/>
          <w:szCs w:val="24"/>
        </w:rPr>
        <w:t>Para el caso de que no prospere el anterior recurso, su</w:t>
      </w:r>
      <w:r w:rsidRPr="005B753F">
        <w:rPr>
          <w:rFonts w:ascii="Times New Roman" w:hAnsi="Times New Roman" w:cs="Times New Roman"/>
          <w:color w:val="000000"/>
          <w:sz w:val="24"/>
          <w:szCs w:val="24"/>
        </w:rPr>
        <w:t xml:space="preserve">plico la estimación del recurso </w:t>
      </w:r>
      <w:r w:rsidR="003F3C6D" w:rsidRPr="005B753F">
        <w:rPr>
          <w:rFonts w:ascii="Times New Roman" w:hAnsi="Times New Roman" w:cs="Times New Roman"/>
          <w:color w:val="000000"/>
          <w:sz w:val="24"/>
          <w:szCs w:val="24"/>
        </w:rPr>
        <w:t>de casación, y, en consecuencia, se case y anule la resolución impugnada resolvié</w:t>
      </w:r>
      <w:r w:rsidR="00BF0882" w:rsidRPr="005B753F">
        <w:rPr>
          <w:rFonts w:ascii="Times New Roman" w:hAnsi="Times New Roman" w:cs="Times New Roman"/>
          <w:color w:val="000000"/>
          <w:sz w:val="24"/>
          <w:szCs w:val="24"/>
        </w:rPr>
        <w:t>ndose sobre el fondo del asunto, estimando el recurso de apelación y en consecuencia estimado la demanda</w:t>
      </w:r>
      <w:r w:rsidR="00B65FCA">
        <w:rPr>
          <w:rFonts w:ascii="Times New Roman" w:hAnsi="Times New Roman" w:cs="Times New Roman"/>
          <w:color w:val="000000"/>
          <w:sz w:val="24"/>
          <w:szCs w:val="24"/>
        </w:rPr>
        <w:t xml:space="preserve">, </w:t>
      </w:r>
      <w:r w:rsidR="00BF0882" w:rsidRPr="005B753F">
        <w:rPr>
          <w:rFonts w:ascii="Times New Roman" w:hAnsi="Times New Roman" w:cs="Times New Roman"/>
          <w:color w:val="000000"/>
          <w:sz w:val="24"/>
          <w:szCs w:val="24"/>
        </w:rPr>
        <w:t xml:space="preserve"> </w:t>
      </w:r>
      <w:r w:rsidR="005B753F" w:rsidRPr="005B753F">
        <w:rPr>
          <w:rFonts w:ascii="Times New Roman" w:hAnsi="Times New Roman" w:cs="Times New Roman"/>
          <w:color w:val="000000"/>
          <w:sz w:val="24"/>
          <w:szCs w:val="24"/>
        </w:rPr>
        <w:t xml:space="preserve">declare </w:t>
      </w:r>
      <w:r w:rsidR="005B753F" w:rsidRPr="005B753F">
        <w:rPr>
          <w:rFonts w:ascii="Times New Roman" w:hAnsi="Times New Roman" w:cs="Times New Roman"/>
          <w:b/>
          <w:sz w:val="24"/>
          <w:szCs w:val="24"/>
        </w:rPr>
        <w:t xml:space="preserve">la nulidad del contrato de Confirmación de OPCIONES DE </w:t>
      </w:r>
      <w:r w:rsidR="005B753F" w:rsidRPr="005B753F">
        <w:rPr>
          <w:rFonts w:ascii="Times New Roman" w:hAnsi="Times New Roman" w:cs="Times New Roman"/>
          <w:b/>
          <w:sz w:val="24"/>
          <w:szCs w:val="24"/>
        </w:rPr>
        <w:lastRenderedPageBreak/>
        <w:t xml:space="preserve">TIPOS DE INTERES COLLAR </w:t>
      </w:r>
      <w:r w:rsidR="005B753F" w:rsidRPr="005B753F">
        <w:rPr>
          <w:rFonts w:ascii="Times New Roman" w:hAnsi="Times New Roman" w:cs="Times New Roman"/>
          <w:sz w:val="24"/>
          <w:szCs w:val="24"/>
        </w:rPr>
        <w:t xml:space="preserve">aportados como </w:t>
      </w:r>
      <w:r w:rsidR="005B753F" w:rsidRPr="005B753F">
        <w:rPr>
          <w:rFonts w:ascii="Times New Roman" w:hAnsi="Times New Roman" w:cs="Times New Roman"/>
          <w:sz w:val="24"/>
          <w:szCs w:val="24"/>
          <w:u w:val="single"/>
        </w:rPr>
        <w:t>Documento núm. 1</w:t>
      </w:r>
      <w:r w:rsidR="005B753F" w:rsidRPr="005B753F">
        <w:rPr>
          <w:rFonts w:ascii="Times New Roman" w:hAnsi="Times New Roman" w:cs="Times New Roman"/>
          <w:sz w:val="24"/>
          <w:szCs w:val="24"/>
        </w:rPr>
        <w:t>,   suscrito entre las partes litigantes</w:t>
      </w:r>
      <w:r w:rsidR="005B753F" w:rsidRPr="005B753F">
        <w:rPr>
          <w:rFonts w:ascii="Times New Roman" w:hAnsi="Times New Roman" w:cs="Times New Roman"/>
          <w:sz w:val="24"/>
          <w:szCs w:val="24"/>
        </w:rPr>
        <w:t xml:space="preserve"> </w:t>
      </w:r>
      <w:r w:rsidR="005B753F" w:rsidRPr="005B753F">
        <w:rPr>
          <w:rFonts w:ascii="Times New Roman" w:eastAsiaTheme="minorHAnsi" w:hAnsi="Times New Roman" w:cs="Times New Roman"/>
          <w:sz w:val="24"/>
          <w:szCs w:val="24"/>
        </w:rPr>
        <w:t>con el efecto previ</w:t>
      </w:r>
      <w:r w:rsidR="005B753F">
        <w:rPr>
          <w:rFonts w:ascii="Times New Roman" w:eastAsiaTheme="minorHAnsi" w:hAnsi="Times New Roman" w:cs="Times New Roman"/>
          <w:sz w:val="24"/>
          <w:szCs w:val="24"/>
        </w:rPr>
        <w:t xml:space="preserve">sto en el artículo 1303 del CC, </w:t>
      </w:r>
      <w:r w:rsidR="005B753F" w:rsidRPr="005B753F">
        <w:rPr>
          <w:rFonts w:ascii="Times New Roman" w:eastAsiaTheme="minorHAnsi" w:hAnsi="Times New Roman" w:cs="Times New Roman"/>
          <w:sz w:val="24"/>
          <w:szCs w:val="24"/>
        </w:rPr>
        <w:t>sobre restitución recíproca de las prestaciones desde el día de la formalización, con más los intereses legales</w:t>
      </w:r>
      <w:r w:rsidR="005B753F">
        <w:rPr>
          <w:rFonts w:ascii="Times New Roman" w:eastAsiaTheme="minorHAnsi" w:hAnsi="Times New Roman" w:cs="Times New Roman"/>
          <w:sz w:val="24"/>
          <w:szCs w:val="24"/>
        </w:rPr>
        <w:t xml:space="preserve"> </w:t>
      </w:r>
      <w:r w:rsidR="005B753F" w:rsidRPr="005B753F">
        <w:rPr>
          <w:rFonts w:ascii="Times New Roman" w:eastAsiaTheme="minorHAnsi" w:hAnsi="Times New Roman" w:cs="Times New Roman"/>
          <w:sz w:val="24"/>
          <w:szCs w:val="24"/>
        </w:rPr>
        <w:t xml:space="preserve">procedentes desde </w:t>
      </w:r>
      <w:r w:rsidR="005B753F">
        <w:rPr>
          <w:rFonts w:ascii="Times New Roman" w:eastAsiaTheme="minorHAnsi" w:hAnsi="Times New Roman" w:cs="Times New Roman"/>
          <w:sz w:val="24"/>
          <w:szCs w:val="24"/>
        </w:rPr>
        <w:t>la fecha del cargo, a deter</w:t>
      </w:r>
      <w:r w:rsidR="005B753F" w:rsidRPr="005B753F">
        <w:rPr>
          <w:rFonts w:ascii="Times New Roman" w:eastAsiaTheme="minorHAnsi" w:hAnsi="Times New Roman" w:cs="Times New Roman"/>
          <w:sz w:val="24"/>
          <w:szCs w:val="24"/>
        </w:rPr>
        <w:t>minar en ejecución de sentencia</w:t>
      </w:r>
      <w:r w:rsidR="005B753F">
        <w:rPr>
          <w:rFonts w:ascii="Times New Roman" w:eastAsiaTheme="minorHAnsi" w:hAnsi="Times New Roman" w:cs="Times New Roman"/>
          <w:sz w:val="24"/>
          <w:szCs w:val="24"/>
        </w:rPr>
        <w:t xml:space="preserve">, </w:t>
      </w:r>
      <w:r w:rsidR="00BF0882" w:rsidRPr="00EC5079">
        <w:rPr>
          <w:rFonts w:ascii="Times New Roman" w:hAnsi="Times New Roman" w:cs="Times New Roman"/>
          <w:color w:val="000000"/>
          <w:sz w:val="24"/>
          <w:szCs w:val="24"/>
        </w:rPr>
        <w:t xml:space="preserve">con imposición de las costas a la demandada. </w:t>
      </w:r>
    </w:p>
    <w:p w:rsidR="00B65FCA" w:rsidRPr="00EC5079" w:rsidRDefault="00B65FCA" w:rsidP="005B753F">
      <w:pPr>
        <w:autoSpaceDE w:val="0"/>
        <w:autoSpaceDN w:val="0"/>
        <w:adjustRightInd w:val="0"/>
        <w:spacing w:after="0" w:line="360" w:lineRule="auto"/>
        <w:jc w:val="both"/>
        <w:rPr>
          <w:rFonts w:ascii="Times New Roman" w:hAnsi="Times New Roman" w:cs="Times New Roman"/>
          <w:color w:val="000000"/>
          <w:sz w:val="24"/>
          <w:szCs w:val="24"/>
          <w:lang w:eastAsia="es-ES"/>
        </w:rPr>
      </w:pPr>
    </w:p>
    <w:p w:rsidR="003F3C6D" w:rsidRPr="00EC5079" w:rsidRDefault="003F3C6D" w:rsidP="00EC5079">
      <w:pPr>
        <w:tabs>
          <w:tab w:val="left" w:pos="142"/>
          <w:tab w:val="left" w:pos="567"/>
          <w:tab w:val="left" w:pos="709"/>
          <w:tab w:val="left" w:pos="851"/>
          <w:tab w:val="left" w:pos="1134"/>
          <w:tab w:val="left" w:pos="1418"/>
        </w:tabs>
        <w:spacing w:before="100" w:beforeAutospacing="1" w:after="100" w:afterAutospacing="1" w:line="360" w:lineRule="auto"/>
        <w:jc w:val="both"/>
        <w:rPr>
          <w:rFonts w:ascii="Times New Roman" w:hAnsi="Times New Roman" w:cs="Times New Roman"/>
          <w:color w:val="000000"/>
          <w:sz w:val="24"/>
          <w:szCs w:val="24"/>
        </w:rPr>
      </w:pPr>
      <w:r w:rsidRPr="00EC5079">
        <w:rPr>
          <w:rFonts w:ascii="Times New Roman" w:hAnsi="Times New Roman" w:cs="Times New Roman"/>
          <w:color w:val="000000"/>
          <w:sz w:val="24"/>
          <w:szCs w:val="24"/>
        </w:rPr>
        <w:t xml:space="preserve">Por ser Justicia que pido en Málaga para Madrid a </w:t>
      </w:r>
      <w:r w:rsidR="00B86120">
        <w:rPr>
          <w:rFonts w:ascii="Times New Roman" w:hAnsi="Times New Roman" w:cs="Times New Roman"/>
          <w:color w:val="000000"/>
          <w:sz w:val="24"/>
          <w:szCs w:val="24"/>
        </w:rPr>
        <w:t xml:space="preserve">1 de mayo </w:t>
      </w:r>
      <w:r w:rsidR="00FE16FB" w:rsidRPr="00EC5079">
        <w:rPr>
          <w:rFonts w:ascii="Times New Roman" w:hAnsi="Times New Roman" w:cs="Times New Roman"/>
          <w:color w:val="000000"/>
          <w:sz w:val="24"/>
          <w:szCs w:val="24"/>
        </w:rPr>
        <w:t>de 2017</w:t>
      </w:r>
      <w:r w:rsidRPr="00EC5079">
        <w:rPr>
          <w:rFonts w:ascii="Times New Roman" w:hAnsi="Times New Roman" w:cs="Times New Roman"/>
          <w:color w:val="000000"/>
          <w:sz w:val="24"/>
          <w:szCs w:val="24"/>
        </w:rPr>
        <w:t>.</w:t>
      </w:r>
    </w:p>
    <w:p w:rsidR="003F3C6D" w:rsidRPr="00EC5079" w:rsidRDefault="003F3C6D" w:rsidP="003F3C6D">
      <w:pPr>
        <w:tabs>
          <w:tab w:val="left" w:pos="142"/>
          <w:tab w:val="left" w:pos="567"/>
          <w:tab w:val="left" w:pos="709"/>
          <w:tab w:val="left" w:pos="851"/>
          <w:tab w:val="left" w:pos="1134"/>
          <w:tab w:val="left" w:pos="1418"/>
        </w:tabs>
        <w:spacing w:line="360" w:lineRule="auto"/>
        <w:ind w:firstLine="426"/>
        <w:jc w:val="both"/>
        <w:rPr>
          <w:rFonts w:ascii="Times New Roman" w:hAnsi="Times New Roman" w:cs="Times New Roman"/>
          <w:b/>
          <w:bCs/>
          <w:color w:val="000000"/>
          <w:sz w:val="24"/>
          <w:szCs w:val="24"/>
          <w:lang w:eastAsia="es-ES"/>
        </w:rPr>
      </w:pPr>
    </w:p>
    <w:p w:rsidR="003F3C6D" w:rsidRPr="00EC5079" w:rsidRDefault="003F3C6D" w:rsidP="003F3C6D">
      <w:pPr>
        <w:tabs>
          <w:tab w:val="left" w:pos="142"/>
          <w:tab w:val="left" w:pos="567"/>
          <w:tab w:val="left" w:pos="709"/>
          <w:tab w:val="left" w:pos="851"/>
          <w:tab w:val="left" w:pos="1134"/>
          <w:tab w:val="left" w:pos="1418"/>
        </w:tabs>
        <w:spacing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b/>
          <w:bCs/>
          <w:color w:val="000000"/>
          <w:sz w:val="24"/>
          <w:szCs w:val="24"/>
          <w:lang w:eastAsia="es-ES"/>
        </w:rPr>
        <w:t>OTROSÍ DIGO, PRIMERO:</w:t>
      </w:r>
      <w:r w:rsidRPr="00EC5079">
        <w:rPr>
          <w:rFonts w:ascii="Times New Roman" w:hAnsi="Times New Roman" w:cs="Times New Roman"/>
          <w:bCs/>
          <w:color w:val="000000"/>
          <w:sz w:val="24"/>
          <w:szCs w:val="24"/>
          <w:lang w:eastAsia="es-ES"/>
        </w:rPr>
        <w:t xml:space="preserve"> Q</w:t>
      </w:r>
      <w:r w:rsidRPr="00EC5079">
        <w:rPr>
          <w:rFonts w:ascii="Times New Roman" w:hAnsi="Times New Roman" w:cs="Times New Roman"/>
          <w:color w:val="000000"/>
          <w:sz w:val="24"/>
          <w:szCs w:val="24"/>
          <w:lang w:eastAsia="es-ES"/>
        </w:rPr>
        <w:t xml:space="preserve">ue esta parte manifiesta su voluntad de cumplir con los requisitos exigidos por la ley, de conformidad con lo dispuesto en el artículo 231 de la LEC, por lo que solicita del Tribunal y del </w:t>
      </w:r>
      <w:r w:rsidR="00FE16FB" w:rsidRPr="00EC5079">
        <w:rPr>
          <w:rFonts w:ascii="Times New Roman" w:hAnsi="Times New Roman" w:cs="Times New Roman"/>
          <w:color w:val="000000"/>
          <w:sz w:val="24"/>
          <w:szCs w:val="24"/>
          <w:lang w:eastAsia="es-ES"/>
        </w:rPr>
        <w:t>Letrado de la Administracion de Justicia</w:t>
      </w:r>
      <w:r w:rsidRPr="00EC5079">
        <w:rPr>
          <w:rFonts w:ascii="Times New Roman" w:hAnsi="Times New Roman" w:cs="Times New Roman"/>
          <w:color w:val="000000"/>
          <w:sz w:val="24"/>
          <w:szCs w:val="24"/>
          <w:lang w:eastAsia="es-ES"/>
        </w:rPr>
        <w:t xml:space="preserve"> la concesión de plazo para la subsanación de los defectos que se observen. </w:t>
      </w:r>
    </w:p>
    <w:p w:rsidR="003F3C6D" w:rsidRPr="00EC5079" w:rsidRDefault="003F3C6D" w:rsidP="003F3C6D">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color w:val="000000"/>
          <w:sz w:val="24"/>
          <w:szCs w:val="24"/>
          <w:lang w:eastAsia="es-ES"/>
        </w:rPr>
        <w:t>Por ello nuevamente,</w:t>
      </w:r>
    </w:p>
    <w:p w:rsidR="003F3C6D" w:rsidRPr="00EC5079" w:rsidRDefault="003F3C6D" w:rsidP="003F3C6D">
      <w:pPr>
        <w:tabs>
          <w:tab w:val="left" w:pos="142"/>
          <w:tab w:val="left" w:pos="567"/>
          <w:tab w:val="left" w:pos="709"/>
          <w:tab w:val="left" w:pos="851"/>
          <w:tab w:val="left" w:pos="1134"/>
          <w:tab w:val="left" w:pos="1418"/>
        </w:tabs>
        <w:spacing w:before="100" w:beforeAutospacing="1" w:after="100" w:afterAutospacing="1" w:line="360" w:lineRule="auto"/>
        <w:ind w:firstLine="426"/>
        <w:jc w:val="both"/>
        <w:rPr>
          <w:rFonts w:ascii="Times New Roman" w:hAnsi="Times New Roman" w:cs="Times New Roman"/>
          <w:color w:val="000000"/>
          <w:sz w:val="24"/>
          <w:szCs w:val="24"/>
          <w:lang w:eastAsia="es-ES"/>
        </w:rPr>
      </w:pPr>
      <w:r w:rsidRPr="00EC5079">
        <w:rPr>
          <w:rFonts w:ascii="Times New Roman" w:hAnsi="Times New Roman" w:cs="Times New Roman"/>
          <w:b/>
          <w:bCs/>
          <w:color w:val="000000"/>
          <w:sz w:val="24"/>
          <w:szCs w:val="24"/>
          <w:lang w:eastAsia="es-ES"/>
        </w:rPr>
        <w:t>SUPLICO A LA SALA:</w:t>
      </w:r>
      <w:r w:rsidRPr="00EC5079">
        <w:rPr>
          <w:rFonts w:ascii="Times New Roman" w:hAnsi="Times New Roman" w:cs="Times New Roman"/>
          <w:color w:val="000000"/>
          <w:sz w:val="24"/>
          <w:szCs w:val="24"/>
          <w:lang w:eastAsia="es-ES"/>
        </w:rPr>
        <w:t xml:space="preserve"> Tenga por hecha la anterior designación a los oportunos efectos.</w:t>
      </w:r>
    </w:p>
    <w:p w:rsidR="003F3C6D" w:rsidRPr="00EC5079" w:rsidRDefault="003F3C6D" w:rsidP="003F3C6D">
      <w:pPr>
        <w:shd w:val="clear" w:color="auto" w:fill="FFFFFF"/>
        <w:tabs>
          <w:tab w:val="left" w:pos="142"/>
          <w:tab w:val="left" w:pos="567"/>
          <w:tab w:val="left" w:pos="709"/>
          <w:tab w:val="left" w:pos="851"/>
          <w:tab w:val="left" w:pos="1134"/>
          <w:tab w:val="left" w:pos="1418"/>
        </w:tabs>
        <w:spacing w:after="0" w:line="240" w:lineRule="auto"/>
        <w:ind w:firstLine="426"/>
        <w:jc w:val="both"/>
        <w:rPr>
          <w:rFonts w:ascii="Times New Roman" w:hAnsi="Times New Roman" w:cs="Times New Roman"/>
          <w:i/>
          <w:color w:val="2A2A2A"/>
          <w:sz w:val="24"/>
          <w:szCs w:val="24"/>
          <w:lang w:eastAsia="es-ES"/>
        </w:rPr>
      </w:pPr>
    </w:p>
    <w:p w:rsidR="003F3C6D" w:rsidRPr="00EC5079" w:rsidRDefault="003F3C6D" w:rsidP="003F3C6D">
      <w:pPr>
        <w:spacing w:line="240" w:lineRule="auto"/>
        <w:ind w:firstLine="708"/>
        <w:jc w:val="both"/>
        <w:rPr>
          <w:rFonts w:ascii="Times New Roman" w:hAnsi="Times New Roman" w:cs="Times New Roman"/>
          <w:sz w:val="24"/>
          <w:szCs w:val="24"/>
        </w:rPr>
      </w:pPr>
    </w:p>
    <w:p w:rsidR="003F3C6D" w:rsidRPr="00EC5079" w:rsidRDefault="003F3C6D" w:rsidP="003F3C6D">
      <w:pPr>
        <w:spacing w:line="240" w:lineRule="auto"/>
        <w:jc w:val="both"/>
        <w:rPr>
          <w:rFonts w:ascii="Times New Roman" w:hAnsi="Times New Roman" w:cs="Times New Roman"/>
          <w:sz w:val="24"/>
          <w:szCs w:val="24"/>
        </w:rPr>
      </w:pPr>
    </w:p>
    <w:p w:rsidR="003F3C6D" w:rsidRPr="00EC5079" w:rsidRDefault="003F3C6D" w:rsidP="003F3C6D">
      <w:pPr>
        <w:spacing w:line="240" w:lineRule="auto"/>
        <w:ind w:firstLine="708"/>
        <w:jc w:val="both"/>
        <w:rPr>
          <w:rFonts w:ascii="Times New Roman" w:hAnsi="Times New Roman" w:cs="Times New Roman"/>
          <w:sz w:val="24"/>
          <w:szCs w:val="24"/>
        </w:rPr>
      </w:pPr>
      <w:r w:rsidRPr="00EC5079">
        <w:rPr>
          <w:rFonts w:ascii="Times New Roman" w:hAnsi="Times New Roman" w:cs="Times New Roman"/>
          <w:noProof/>
          <w:sz w:val="24"/>
          <w:szCs w:val="24"/>
          <w:lang w:val="en-US"/>
        </w:rPr>
        <w:drawing>
          <wp:inline distT="0" distB="0" distL="0" distR="0" wp14:anchorId="0C031D0D" wp14:editId="6E7E2528">
            <wp:extent cx="1018180" cy="90215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0791" cy="904465"/>
                    </a:xfrm>
                    <a:prstGeom prst="rect">
                      <a:avLst/>
                    </a:prstGeom>
                    <a:noFill/>
                    <a:ln w="9525">
                      <a:noFill/>
                      <a:miter lim="800000"/>
                      <a:headEnd/>
                      <a:tailEnd/>
                    </a:ln>
                  </pic:spPr>
                </pic:pic>
              </a:graphicData>
            </a:graphic>
          </wp:inline>
        </w:drawing>
      </w:r>
      <w:bookmarkStart w:id="0" w:name="_GoBack"/>
      <w:bookmarkEnd w:id="0"/>
    </w:p>
    <w:p w:rsidR="003F3C6D" w:rsidRPr="00EC5079" w:rsidRDefault="003F3C6D" w:rsidP="003F3C6D">
      <w:pPr>
        <w:spacing w:line="240" w:lineRule="auto"/>
        <w:ind w:firstLine="708"/>
        <w:jc w:val="both"/>
        <w:rPr>
          <w:rFonts w:ascii="Times New Roman" w:hAnsi="Times New Roman" w:cs="Times New Roman"/>
          <w:sz w:val="24"/>
          <w:szCs w:val="24"/>
        </w:rPr>
      </w:pPr>
      <w:r w:rsidRPr="00EC5079">
        <w:rPr>
          <w:rFonts w:ascii="Times New Roman" w:hAnsi="Times New Roman" w:cs="Times New Roman"/>
          <w:sz w:val="24"/>
          <w:szCs w:val="24"/>
        </w:rPr>
        <w:t>Lda. Belén Rincón Pérez</w:t>
      </w:r>
      <w:r w:rsidRPr="00EC5079">
        <w:rPr>
          <w:rFonts w:ascii="Times New Roman" w:hAnsi="Times New Roman" w:cs="Times New Roman"/>
          <w:sz w:val="24"/>
          <w:szCs w:val="24"/>
        </w:rPr>
        <w:tab/>
      </w:r>
      <w:r w:rsidRPr="00EC5079">
        <w:rPr>
          <w:rFonts w:ascii="Times New Roman" w:hAnsi="Times New Roman" w:cs="Times New Roman"/>
          <w:sz w:val="24"/>
          <w:szCs w:val="24"/>
        </w:rPr>
        <w:tab/>
      </w:r>
      <w:r w:rsidR="00B86120">
        <w:rPr>
          <w:rFonts w:ascii="Times New Roman" w:hAnsi="Times New Roman" w:cs="Times New Roman"/>
          <w:sz w:val="24"/>
          <w:szCs w:val="24"/>
        </w:rPr>
        <w:tab/>
      </w:r>
      <w:r w:rsidRPr="00EC5079">
        <w:rPr>
          <w:rFonts w:ascii="Times New Roman" w:hAnsi="Times New Roman" w:cs="Times New Roman"/>
          <w:sz w:val="24"/>
          <w:szCs w:val="24"/>
        </w:rPr>
        <w:t xml:space="preserve">Proc. </w:t>
      </w:r>
      <w:r w:rsidR="00B65FCA">
        <w:rPr>
          <w:rFonts w:ascii="Times New Roman" w:hAnsi="Times New Roman" w:cs="Times New Roman"/>
          <w:sz w:val="24"/>
          <w:szCs w:val="24"/>
        </w:rPr>
        <w:t>Claudia Gonzá</w:t>
      </w:r>
      <w:r w:rsidR="00FE16FB" w:rsidRPr="00EC5079">
        <w:rPr>
          <w:rFonts w:ascii="Times New Roman" w:hAnsi="Times New Roman" w:cs="Times New Roman"/>
          <w:sz w:val="24"/>
          <w:szCs w:val="24"/>
        </w:rPr>
        <w:t xml:space="preserve">lez Escobar. </w:t>
      </w:r>
      <w:r w:rsidRPr="00EC5079">
        <w:rPr>
          <w:rFonts w:ascii="Times New Roman" w:hAnsi="Times New Roman" w:cs="Times New Roman"/>
          <w:color w:val="000000" w:themeColor="text1"/>
          <w:sz w:val="24"/>
          <w:szCs w:val="24"/>
        </w:rPr>
        <w:tab/>
      </w:r>
    </w:p>
    <w:p w:rsidR="003F3C6D" w:rsidRPr="00EC5079" w:rsidRDefault="003F3C6D" w:rsidP="003F3C6D">
      <w:pPr>
        <w:rPr>
          <w:rFonts w:ascii="Times New Roman" w:hAnsi="Times New Roman" w:cs="Times New Roman"/>
          <w:sz w:val="24"/>
          <w:szCs w:val="24"/>
        </w:rPr>
      </w:pPr>
    </w:p>
    <w:p w:rsidR="00375C66" w:rsidRPr="00EC5079" w:rsidRDefault="00375C66">
      <w:pPr>
        <w:rPr>
          <w:rFonts w:ascii="Times New Roman" w:hAnsi="Times New Roman" w:cs="Times New Roman"/>
          <w:sz w:val="24"/>
          <w:szCs w:val="24"/>
        </w:rPr>
      </w:pPr>
    </w:p>
    <w:sectPr w:rsidR="00375C66" w:rsidRPr="00EC5079" w:rsidSect="00327EB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357" w:rsidRDefault="00851357" w:rsidP="003F3C6D">
      <w:pPr>
        <w:spacing w:after="0" w:line="240" w:lineRule="auto"/>
      </w:pPr>
      <w:r>
        <w:separator/>
      </w:r>
    </w:p>
  </w:endnote>
  <w:endnote w:type="continuationSeparator" w:id="0">
    <w:p w:rsidR="00851357" w:rsidRDefault="00851357" w:rsidP="003F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42" w:rsidRDefault="00EB6B42">
    <w:pPr>
      <w:pStyle w:val="Piedepgina"/>
      <w:jc w:val="right"/>
    </w:pPr>
    <w:r>
      <w:fldChar w:fldCharType="begin"/>
    </w:r>
    <w:r>
      <w:instrText>PAGE   \* MERGEFORMAT</w:instrText>
    </w:r>
    <w:r>
      <w:fldChar w:fldCharType="separate"/>
    </w:r>
    <w:r w:rsidR="00B65FCA">
      <w:rPr>
        <w:noProof/>
      </w:rPr>
      <w:t>22</w:t>
    </w:r>
    <w:r>
      <w:rPr>
        <w:noProof/>
      </w:rPr>
      <w:fldChar w:fldCharType="end"/>
    </w:r>
  </w:p>
  <w:p w:rsidR="00EB6B42" w:rsidRDefault="00EB6B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357" w:rsidRDefault="00851357" w:rsidP="003F3C6D">
      <w:pPr>
        <w:spacing w:after="0" w:line="240" w:lineRule="auto"/>
      </w:pPr>
      <w:r>
        <w:separator/>
      </w:r>
    </w:p>
  </w:footnote>
  <w:footnote w:type="continuationSeparator" w:id="0">
    <w:p w:rsidR="00851357" w:rsidRDefault="00851357" w:rsidP="003F3C6D">
      <w:pPr>
        <w:spacing w:after="0" w:line="240" w:lineRule="auto"/>
      </w:pPr>
      <w:r>
        <w:continuationSeparator/>
      </w:r>
    </w:p>
  </w:footnote>
  <w:footnote w:id="1">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2º, página 3 de la demanda.</w:t>
      </w:r>
    </w:p>
  </w:footnote>
  <w:footnote w:id="2">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4ª, página 4 de la demanda. </w:t>
      </w:r>
    </w:p>
  </w:footnote>
  <w:footnote w:id="3">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4, página 8 de la contestación a la demanda. </w:t>
      </w:r>
    </w:p>
  </w:footnote>
  <w:footnote w:id="4">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2, página 11 de la contestación a la demanda. </w:t>
      </w:r>
    </w:p>
  </w:footnote>
  <w:footnote w:id="5">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3, página 11 de la contestación a la demanda. </w:t>
      </w:r>
    </w:p>
  </w:footnote>
  <w:footnote w:id="6">
    <w:p w:rsidR="00EB6B42" w:rsidRPr="00BF0882" w:rsidRDefault="00EB6B42" w:rsidP="00BF0882">
      <w:pPr>
        <w:pStyle w:val="Textonotapie"/>
        <w:jc w:val="both"/>
        <w:rPr>
          <w:rFonts w:ascii="Times New Roman" w:hAnsi="Times New Roman"/>
        </w:rPr>
      </w:pPr>
      <w:r w:rsidRPr="00BF0882">
        <w:rPr>
          <w:rStyle w:val="Refdenotaalpie"/>
          <w:rFonts w:ascii="Times New Roman" w:hAnsi="Times New Roman"/>
        </w:rPr>
        <w:footnoteRef/>
      </w:r>
      <w:r w:rsidRPr="00BF0882">
        <w:rPr>
          <w:rFonts w:ascii="Times New Roman" w:hAnsi="Times New Roman"/>
        </w:rPr>
        <w:t xml:space="preserve"> Párrafo 2, página 12 de la contestación a la demanda. </w:t>
      </w:r>
    </w:p>
  </w:footnote>
  <w:footnote w:id="7">
    <w:p w:rsidR="00EB6B42" w:rsidRDefault="00EB6B42" w:rsidP="00BF0882">
      <w:pPr>
        <w:pStyle w:val="Textonotapie"/>
        <w:jc w:val="both"/>
      </w:pPr>
      <w:r w:rsidRPr="00BF0882">
        <w:rPr>
          <w:rStyle w:val="Refdenotaalpie"/>
          <w:rFonts w:ascii="Times New Roman" w:hAnsi="Times New Roman"/>
        </w:rPr>
        <w:footnoteRef/>
      </w:r>
      <w:r w:rsidRPr="00BF0882">
        <w:rPr>
          <w:rFonts w:ascii="Times New Roman" w:hAnsi="Times New Roman"/>
        </w:rPr>
        <w:t xml:space="preserve"> Párrafo 3, página 15 de la contestación a la demanda.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2ECF"/>
    <w:multiLevelType w:val="hybridMultilevel"/>
    <w:tmpl w:val="26B6665C"/>
    <w:lvl w:ilvl="0" w:tplc="EF00687E">
      <w:start w:val="1"/>
      <w:numFmt w:val="lowerLetter"/>
      <w:lvlText w:val="%1)"/>
      <w:lvlJc w:val="left"/>
      <w:pPr>
        <w:tabs>
          <w:tab w:val="num" w:pos="1729"/>
        </w:tabs>
        <w:ind w:left="1729" w:hanging="102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 w15:restartNumberingAfterBreak="0">
    <w:nsid w:val="03E51B4C"/>
    <w:multiLevelType w:val="hybridMultilevel"/>
    <w:tmpl w:val="D354FBCE"/>
    <w:lvl w:ilvl="0" w:tplc="C4023940">
      <w:start w:val="5"/>
      <w:numFmt w:val="bullet"/>
      <w:lvlText w:val="-"/>
      <w:lvlJc w:val="left"/>
      <w:pPr>
        <w:ind w:left="786" w:hanging="360"/>
      </w:pPr>
      <w:rPr>
        <w:rFonts w:ascii="Arial" w:eastAsia="Arial Unicode MS"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0CAF47C9"/>
    <w:multiLevelType w:val="hybridMultilevel"/>
    <w:tmpl w:val="C316BAC6"/>
    <w:lvl w:ilvl="0" w:tplc="0CFC5CB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2871A2"/>
    <w:multiLevelType w:val="hybridMultilevel"/>
    <w:tmpl w:val="83E44ECC"/>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5C2F43"/>
    <w:multiLevelType w:val="hybridMultilevel"/>
    <w:tmpl w:val="C5586250"/>
    <w:lvl w:ilvl="0" w:tplc="DC86A4D4">
      <w:start w:val="1"/>
      <w:numFmt w:val="lowerLetter"/>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5507"/>
    <w:multiLevelType w:val="hybridMultilevel"/>
    <w:tmpl w:val="1316A88E"/>
    <w:lvl w:ilvl="0" w:tplc="D59C426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11AC28DB"/>
    <w:multiLevelType w:val="hybridMultilevel"/>
    <w:tmpl w:val="D6E47D6C"/>
    <w:lvl w:ilvl="0" w:tplc="D6F8732C">
      <w:start w:val="1"/>
      <w:numFmt w:val="lowerLetter"/>
      <w:lvlText w:val="%1)"/>
      <w:lvlJc w:val="left"/>
      <w:pPr>
        <w:ind w:left="502" w:hanging="360"/>
      </w:pPr>
      <w:rPr>
        <w:rFonts w:eastAsia="Times New Roman" w:cs="Times New Roman" w:hint="default"/>
        <w:color w:val="000000"/>
        <w:u w:val="none"/>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7" w15:restartNumberingAfterBreak="0">
    <w:nsid w:val="11C569CF"/>
    <w:multiLevelType w:val="hybridMultilevel"/>
    <w:tmpl w:val="AEA218A0"/>
    <w:lvl w:ilvl="0" w:tplc="8BE43C88">
      <w:start w:val="1"/>
      <w:numFmt w:val="lowerRoman"/>
      <w:lvlText w:val="%1."/>
      <w:lvlJc w:val="left"/>
      <w:pPr>
        <w:ind w:left="1428" w:hanging="72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17D74118"/>
    <w:multiLevelType w:val="hybridMultilevel"/>
    <w:tmpl w:val="6F6055E6"/>
    <w:lvl w:ilvl="0" w:tplc="0472DEFE">
      <w:start w:val="1"/>
      <w:numFmt w:val="lowerLetter"/>
      <w:lvlText w:val="%1)"/>
      <w:lvlJc w:val="left"/>
      <w:pPr>
        <w:ind w:left="2486" w:hanging="360"/>
      </w:pPr>
      <w:rPr>
        <w:rFonts w:hint="default"/>
        <w:b/>
      </w:rPr>
    </w:lvl>
    <w:lvl w:ilvl="1" w:tplc="0C0A0019" w:tentative="1">
      <w:start w:val="1"/>
      <w:numFmt w:val="lowerLetter"/>
      <w:lvlText w:val="%2."/>
      <w:lvlJc w:val="left"/>
      <w:pPr>
        <w:ind w:left="3206" w:hanging="360"/>
      </w:pPr>
    </w:lvl>
    <w:lvl w:ilvl="2" w:tplc="0C0A001B" w:tentative="1">
      <w:start w:val="1"/>
      <w:numFmt w:val="lowerRoman"/>
      <w:lvlText w:val="%3."/>
      <w:lvlJc w:val="right"/>
      <w:pPr>
        <w:ind w:left="3926" w:hanging="180"/>
      </w:pPr>
    </w:lvl>
    <w:lvl w:ilvl="3" w:tplc="0C0A000F" w:tentative="1">
      <w:start w:val="1"/>
      <w:numFmt w:val="decimal"/>
      <w:lvlText w:val="%4."/>
      <w:lvlJc w:val="left"/>
      <w:pPr>
        <w:ind w:left="4646" w:hanging="360"/>
      </w:pPr>
    </w:lvl>
    <w:lvl w:ilvl="4" w:tplc="0C0A0019" w:tentative="1">
      <w:start w:val="1"/>
      <w:numFmt w:val="lowerLetter"/>
      <w:lvlText w:val="%5."/>
      <w:lvlJc w:val="left"/>
      <w:pPr>
        <w:ind w:left="5366" w:hanging="360"/>
      </w:pPr>
    </w:lvl>
    <w:lvl w:ilvl="5" w:tplc="0C0A001B" w:tentative="1">
      <w:start w:val="1"/>
      <w:numFmt w:val="lowerRoman"/>
      <w:lvlText w:val="%6."/>
      <w:lvlJc w:val="right"/>
      <w:pPr>
        <w:ind w:left="6086" w:hanging="180"/>
      </w:pPr>
    </w:lvl>
    <w:lvl w:ilvl="6" w:tplc="0C0A000F" w:tentative="1">
      <w:start w:val="1"/>
      <w:numFmt w:val="decimal"/>
      <w:lvlText w:val="%7."/>
      <w:lvlJc w:val="left"/>
      <w:pPr>
        <w:ind w:left="6806" w:hanging="360"/>
      </w:pPr>
    </w:lvl>
    <w:lvl w:ilvl="7" w:tplc="0C0A0019" w:tentative="1">
      <w:start w:val="1"/>
      <w:numFmt w:val="lowerLetter"/>
      <w:lvlText w:val="%8."/>
      <w:lvlJc w:val="left"/>
      <w:pPr>
        <w:ind w:left="7526" w:hanging="360"/>
      </w:pPr>
    </w:lvl>
    <w:lvl w:ilvl="8" w:tplc="0C0A001B" w:tentative="1">
      <w:start w:val="1"/>
      <w:numFmt w:val="lowerRoman"/>
      <w:lvlText w:val="%9."/>
      <w:lvlJc w:val="right"/>
      <w:pPr>
        <w:ind w:left="8246" w:hanging="180"/>
      </w:pPr>
    </w:lvl>
  </w:abstractNum>
  <w:abstractNum w:abstractNumId="9" w15:restartNumberingAfterBreak="0">
    <w:nsid w:val="19F17885"/>
    <w:multiLevelType w:val="hybridMultilevel"/>
    <w:tmpl w:val="DB90BCD4"/>
    <w:lvl w:ilvl="0" w:tplc="940E4A36">
      <w:start w:val="1"/>
      <w:numFmt w:val="upperLetter"/>
      <w:lvlText w:val="%1)"/>
      <w:lvlJc w:val="left"/>
      <w:pPr>
        <w:ind w:left="495" w:hanging="360"/>
      </w:pPr>
      <w:rPr>
        <w:rFonts w:hint="default"/>
        <w:b/>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10" w15:restartNumberingAfterBreak="0">
    <w:nsid w:val="1B000AC2"/>
    <w:multiLevelType w:val="hybridMultilevel"/>
    <w:tmpl w:val="89286CA2"/>
    <w:lvl w:ilvl="0" w:tplc="BE5662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D74FA"/>
    <w:multiLevelType w:val="hybridMultilevel"/>
    <w:tmpl w:val="D498587E"/>
    <w:lvl w:ilvl="0" w:tplc="4838FDEC">
      <w:start w:val="1"/>
      <w:numFmt w:val="decimal"/>
      <w:lvlText w:val="%1."/>
      <w:lvlJc w:val="left"/>
      <w:pPr>
        <w:ind w:left="2496" w:hanging="360"/>
      </w:pPr>
      <w:rPr>
        <w:rFonts w:hint="default"/>
      </w:rPr>
    </w:lvl>
    <w:lvl w:ilvl="1" w:tplc="0C0A0019" w:tentative="1">
      <w:start w:val="1"/>
      <w:numFmt w:val="lowerLetter"/>
      <w:lvlText w:val="%2."/>
      <w:lvlJc w:val="left"/>
      <w:pPr>
        <w:ind w:left="3216" w:hanging="360"/>
      </w:pPr>
    </w:lvl>
    <w:lvl w:ilvl="2" w:tplc="0C0A001B" w:tentative="1">
      <w:start w:val="1"/>
      <w:numFmt w:val="lowerRoman"/>
      <w:lvlText w:val="%3."/>
      <w:lvlJc w:val="right"/>
      <w:pPr>
        <w:ind w:left="3936" w:hanging="180"/>
      </w:pPr>
    </w:lvl>
    <w:lvl w:ilvl="3" w:tplc="0C0A000F" w:tentative="1">
      <w:start w:val="1"/>
      <w:numFmt w:val="decimal"/>
      <w:lvlText w:val="%4."/>
      <w:lvlJc w:val="left"/>
      <w:pPr>
        <w:ind w:left="4656" w:hanging="360"/>
      </w:pPr>
    </w:lvl>
    <w:lvl w:ilvl="4" w:tplc="0C0A0019" w:tentative="1">
      <w:start w:val="1"/>
      <w:numFmt w:val="lowerLetter"/>
      <w:lvlText w:val="%5."/>
      <w:lvlJc w:val="left"/>
      <w:pPr>
        <w:ind w:left="5376" w:hanging="360"/>
      </w:pPr>
    </w:lvl>
    <w:lvl w:ilvl="5" w:tplc="0C0A001B" w:tentative="1">
      <w:start w:val="1"/>
      <w:numFmt w:val="lowerRoman"/>
      <w:lvlText w:val="%6."/>
      <w:lvlJc w:val="right"/>
      <w:pPr>
        <w:ind w:left="6096" w:hanging="180"/>
      </w:pPr>
    </w:lvl>
    <w:lvl w:ilvl="6" w:tplc="0C0A000F" w:tentative="1">
      <w:start w:val="1"/>
      <w:numFmt w:val="decimal"/>
      <w:lvlText w:val="%7."/>
      <w:lvlJc w:val="left"/>
      <w:pPr>
        <w:ind w:left="6816" w:hanging="360"/>
      </w:pPr>
    </w:lvl>
    <w:lvl w:ilvl="7" w:tplc="0C0A0019" w:tentative="1">
      <w:start w:val="1"/>
      <w:numFmt w:val="lowerLetter"/>
      <w:lvlText w:val="%8."/>
      <w:lvlJc w:val="left"/>
      <w:pPr>
        <w:ind w:left="7536" w:hanging="360"/>
      </w:pPr>
    </w:lvl>
    <w:lvl w:ilvl="8" w:tplc="0C0A001B" w:tentative="1">
      <w:start w:val="1"/>
      <w:numFmt w:val="lowerRoman"/>
      <w:lvlText w:val="%9."/>
      <w:lvlJc w:val="right"/>
      <w:pPr>
        <w:ind w:left="8256" w:hanging="180"/>
      </w:pPr>
    </w:lvl>
  </w:abstractNum>
  <w:abstractNum w:abstractNumId="12" w15:restartNumberingAfterBreak="0">
    <w:nsid w:val="22263A4A"/>
    <w:multiLevelType w:val="hybridMultilevel"/>
    <w:tmpl w:val="26B6665C"/>
    <w:lvl w:ilvl="0" w:tplc="EF00687E">
      <w:start w:val="1"/>
      <w:numFmt w:val="lowerLetter"/>
      <w:lvlText w:val="%1)"/>
      <w:lvlJc w:val="left"/>
      <w:pPr>
        <w:tabs>
          <w:tab w:val="num" w:pos="1729"/>
        </w:tabs>
        <w:ind w:left="1729" w:hanging="102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3" w15:restartNumberingAfterBreak="0">
    <w:nsid w:val="22827FA8"/>
    <w:multiLevelType w:val="hybridMultilevel"/>
    <w:tmpl w:val="9608601E"/>
    <w:lvl w:ilvl="0" w:tplc="F70AD2C4">
      <w:start w:val="1"/>
      <w:numFmt w:val="decimal"/>
      <w:lvlText w:val="%1."/>
      <w:lvlJc w:val="left"/>
      <w:pPr>
        <w:ind w:left="502" w:hanging="360"/>
      </w:pPr>
      <w:rPr>
        <w:rFonts w:asciiTheme="minorHAnsi" w:eastAsia="Times New Roman" w:hAnsiTheme="minorHAnsi" w:cstheme="minorBidi"/>
        <w:color w:val="000000"/>
        <w:u w:val="none"/>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14" w15:restartNumberingAfterBreak="0">
    <w:nsid w:val="29F97905"/>
    <w:multiLevelType w:val="hybridMultilevel"/>
    <w:tmpl w:val="672EB718"/>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2E14D6"/>
    <w:multiLevelType w:val="hybridMultilevel"/>
    <w:tmpl w:val="0E508D74"/>
    <w:lvl w:ilvl="0" w:tplc="32F089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009FF"/>
    <w:multiLevelType w:val="hybridMultilevel"/>
    <w:tmpl w:val="3CBA0FB8"/>
    <w:lvl w:ilvl="0" w:tplc="F38AB3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15:restartNumberingAfterBreak="0">
    <w:nsid w:val="2F965A8C"/>
    <w:multiLevelType w:val="hybridMultilevel"/>
    <w:tmpl w:val="E872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86F83"/>
    <w:multiLevelType w:val="hybridMultilevel"/>
    <w:tmpl w:val="FA3C5514"/>
    <w:lvl w:ilvl="0" w:tplc="6330A540">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904FDF"/>
    <w:multiLevelType w:val="hybridMultilevel"/>
    <w:tmpl w:val="72F4843E"/>
    <w:lvl w:ilvl="0" w:tplc="187EEA50">
      <w:start w:val="1"/>
      <w:numFmt w:val="lowerRoman"/>
      <w:lvlText w:val="%1."/>
      <w:lvlJc w:val="right"/>
      <w:pPr>
        <w:ind w:left="1428" w:hanging="360"/>
      </w:pPr>
      <w:rPr>
        <w:rFonts w:cs="Times New Roman"/>
        <w:b w:val="0"/>
        <w:i w:val="0"/>
      </w:rPr>
    </w:lvl>
    <w:lvl w:ilvl="1" w:tplc="0C0A0019">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20" w15:restartNumberingAfterBreak="0">
    <w:nsid w:val="35CB7777"/>
    <w:multiLevelType w:val="hybridMultilevel"/>
    <w:tmpl w:val="A87C2876"/>
    <w:lvl w:ilvl="0" w:tplc="0C0A0013">
      <w:start w:val="1"/>
      <w:numFmt w:val="upperRoman"/>
      <w:lvlText w:val="%1."/>
      <w:lvlJc w:val="right"/>
      <w:pPr>
        <w:ind w:left="2136" w:hanging="360"/>
      </w:pPr>
      <w:rPr>
        <w:rFonts w:cs="Times New Roman"/>
      </w:rPr>
    </w:lvl>
    <w:lvl w:ilvl="1" w:tplc="0C0A0019">
      <w:start w:val="1"/>
      <w:numFmt w:val="lowerLetter"/>
      <w:lvlText w:val="%2."/>
      <w:lvlJc w:val="left"/>
      <w:pPr>
        <w:ind w:left="2856" w:hanging="360"/>
      </w:pPr>
      <w:rPr>
        <w:rFonts w:cs="Times New Roman"/>
      </w:rPr>
    </w:lvl>
    <w:lvl w:ilvl="2" w:tplc="0C0A001B" w:tentative="1">
      <w:start w:val="1"/>
      <w:numFmt w:val="lowerRoman"/>
      <w:lvlText w:val="%3."/>
      <w:lvlJc w:val="right"/>
      <w:pPr>
        <w:ind w:left="3576" w:hanging="180"/>
      </w:pPr>
      <w:rPr>
        <w:rFonts w:cs="Times New Roman"/>
      </w:rPr>
    </w:lvl>
    <w:lvl w:ilvl="3" w:tplc="0C0A000F" w:tentative="1">
      <w:start w:val="1"/>
      <w:numFmt w:val="decimal"/>
      <w:lvlText w:val="%4."/>
      <w:lvlJc w:val="left"/>
      <w:pPr>
        <w:ind w:left="4296" w:hanging="360"/>
      </w:pPr>
      <w:rPr>
        <w:rFonts w:cs="Times New Roman"/>
      </w:rPr>
    </w:lvl>
    <w:lvl w:ilvl="4" w:tplc="0C0A0019" w:tentative="1">
      <w:start w:val="1"/>
      <w:numFmt w:val="lowerLetter"/>
      <w:lvlText w:val="%5."/>
      <w:lvlJc w:val="left"/>
      <w:pPr>
        <w:ind w:left="5016" w:hanging="360"/>
      </w:pPr>
      <w:rPr>
        <w:rFonts w:cs="Times New Roman"/>
      </w:rPr>
    </w:lvl>
    <w:lvl w:ilvl="5" w:tplc="0C0A001B" w:tentative="1">
      <w:start w:val="1"/>
      <w:numFmt w:val="lowerRoman"/>
      <w:lvlText w:val="%6."/>
      <w:lvlJc w:val="right"/>
      <w:pPr>
        <w:ind w:left="5736" w:hanging="180"/>
      </w:pPr>
      <w:rPr>
        <w:rFonts w:cs="Times New Roman"/>
      </w:rPr>
    </w:lvl>
    <w:lvl w:ilvl="6" w:tplc="0C0A000F" w:tentative="1">
      <w:start w:val="1"/>
      <w:numFmt w:val="decimal"/>
      <w:lvlText w:val="%7."/>
      <w:lvlJc w:val="left"/>
      <w:pPr>
        <w:ind w:left="6456" w:hanging="360"/>
      </w:pPr>
      <w:rPr>
        <w:rFonts w:cs="Times New Roman"/>
      </w:rPr>
    </w:lvl>
    <w:lvl w:ilvl="7" w:tplc="0C0A0019" w:tentative="1">
      <w:start w:val="1"/>
      <w:numFmt w:val="lowerLetter"/>
      <w:lvlText w:val="%8."/>
      <w:lvlJc w:val="left"/>
      <w:pPr>
        <w:ind w:left="7176" w:hanging="360"/>
      </w:pPr>
      <w:rPr>
        <w:rFonts w:cs="Times New Roman"/>
      </w:rPr>
    </w:lvl>
    <w:lvl w:ilvl="8" w:tplc="0C0A001B" w:tentative="1">
      <w:start w:val="1"/>
      <w:numFmt w:val="lowerRoman"/>
      <w:lvlText w:val="%9."/>
      <w:lvlJc w:val="right"/>
      <w:pPr>
        <w:ind w:left="7896" w:hanging="180"/>
      </w:pPr>
      <w:rPr>
        <w:rFonts w:cs="Times New Roman"/>
      </w:rPr>
    </w:lvl>
  </w:abstractNum>
  <w:abstractNum w:abstractNumId="21" w15:restartNumberingAfterBreak="0">
    <w:nsid w:val="3617447C"/>
    <w:multiLevelType w:val="hybridMultilevel"/>
    <w:tmpl w:val="BF20B01C"/>
    <w:lvl w:ilvl="0" w:tplc="D80AA93A">
      <w:start w:val="1"/>
      <w:numFmt w:val="lowerLetter"/>
      <w:lvlText w:val="%1)"/>
      <w:lvlJc w:val="left"/>
      <w:pPr>
        <w:ind w:left="928" w:hanging="360"/>
      </w:pPr>
      <w:rPr>
        <w:rFonts w:cs="Times New Roman" w:hint="default"/>
        <w:b w:val="0"/>
        <w:i/>
      </w:rPr>
    </w:lvl>
    <w:lvl w:ilvl="1" w:tplc="0C0A0019" w:tentative="1">
      <w:start w:val="1"/>
      <w:numFmt w:val="lowerLetter"/>
      <w:lvlText w:val="%2."/>
      <w:lvlJc w:val="left"/>
      <w:pPr>
        <w:ind w:left="1648" w:hanging="360"/>
      </w:pPr>
      <w:rPr>
        <w:rFonts w:cs="Times New Roman"/>
      </w:rPr>
    </w:lvl>
    <w:lvl w:ilvl="2" w:tplc="0C0A001B" w:tentative="1">
      <w:start w:val="1"/>
      <w:numFmt w:val="lowerRoman"/>
      <w:lvlText w:val="%3."/>
      <w:lvlJc w:val="right"/>
      <w:pPr>
        <w:ind w:left="2368" w:hanging="180"/>
      </w:pPr>
      <w:rPr>
        <w:rFonts w:cs="Times New Roman"/>
      </w:rPr>
    </w:lvl>
    <w:lvl w:ilvl="3" w:tplc="0C0A000F" w:tentative="1">
      <w:start w:val="1"/>
      <w:numFmt w:val="decimal"/>
      <w:lvlText w:val="%4."/>
      <w:lvlJc w:val="left"/>
      <w:pPr>
        <w:ind w:left="3088" w:hanging="360"/>
      </w:pPr>
      <w:rPr>
        <w:rFonts w:cs="Times New Roman"/>
      </w:rPr>
    </w:lvl>
    <w:lvl w:ilvl="4" w:tplc="0C0A0019" w:tentative="1">
      <w:start w:val="1"/>
      <w:numFmt w:val="lowerLetter"/>
      <w:lvlText w:val="%5."/>
      <w:lvlJc w:val="left"/>
      <w:pPr>
        <w:ind w:left="3808" w:hanging="360"/>
      </w:pPr>
      <w:rPr>
        <w:rFonts w:cs="Times New Roman"/>
      </w:rPr>
    </w:lvl>
    <w:lvl w:ilvl="5" w:tplc="0C0A001B" w:tentative="1">
      <w:start w:val="1"/>
      <w:numFmt w:val="lowerRoman"/>
      <w:lvlText w:val="%6."/>
      <w:lvlJc w:val="right"/>
      <w:pPr>
        <w:ind w:left="4528" w:hanging="180"/>
      </w:pPr>
      <w:rPr>
        <w:rFonts w:cs="Times New Roman"/>
      </w:rPr>
    </w:lvl>
    <w:lvl w:ilvl="6" w:tplc="0C0A000F" w:tentative="1">
      <w:start w:val="1"/>
      <w:numFmt w:val="decimal"/>
      <w:lvlText w:val="%7."/>
      <w:lvlJc w:val="left"/>
      <w:pPr>
        <w:ind w:left="5248" w:hanging="360"/>
      </w:pPr>
      <w:rPr>
        <w:rFonts w:cs="Times New Roman"/>
      </w:rPr>
    </w:lvl>
    <w:lvl w:ilvl="7" w:tplc="0C0A0019" w:tentative="1">
      <w:start w:val="1"/>
      <w:numFmt w:val="lowerLetter"/>
      <w:lvlText w:val="%8."/>
      <w:lvlJc w:val="left"/>
      <w:pPr>
        <w:ind w:left="5968" w:hanging="360"/>
      </w:pPr>
      <w:rPr>
        <w:rFonts w:cs="Times New Roman"/>
      </w:rPr>
    </w:lvl>
    <w:lvl w:ilvl="8" w:tplc="0C0A001B" w:tentative="1">
      <w:start w:val="1"/>
      <w:numFmt w:val="lowerRoman"/>
      <w:lvlText w:val="%9."/>
      <w:lvlJc w:val="right"/>
      <w:pPr>
        <w:ind w:left="6688" w:hanging="180"/>
      </w:pPr>
      <w:rPr>
        <w:rFonts w:cs="Times New Roman"/>
      </w:rPr>
    </w:lvl>
  </w:abstractNum>
  <w:abstractNum w:abstractNumId="22" w15:restartNumberingAfterBreak="0">
    <w:nsid w:val="37086EB1"/>
    <w:multiLevelType w:val="hybridMultilevel"/>
    <w:tmpl w:val="FAD43E24"/>
    <w:lvl w:ilvl="0" w:tplc="3A702BF6">
      <w:start w:val="1"/>
      <w:numFmt w:val="bullet"/>
      <w:lvlText w:val="-"/>
      <w:lvlJc w:val="left"/>
      <w:pPr>
        <w:ind w:left="786" w:hanging="360"/>
      </w:pPr>
      <w:rPr>
        <w:rFonts w:ascii="Book Antiqua" w:eastAsia="Arial Unicode MS" w:hAnsi="Book Antiqua" w:cs="Aria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3" w15:restartNumberingAfterBreak="0">
    <w:nsid w:val="37F86AFE"/>
    <w:multiLevelType w:val="hybridMultilevel"/>
    <w:tmpl w:val="26B6665C"/>
    <w:lvl w:ilvl="0" w:tplc="EF00687E">
      <w:start w:val="1"/>
      <w:numFmt w:val="lowerLetter"/>
      <w:lvlText w:val="%1)"/>
      <w:lvlJc w:val="left"/>
      <w:pPr>
        <w:tabs>
          <w:tab w:val="num" w:pos="1729"/>
        </w:tabs>
        <w:ind w:left="1729" w:hanging="102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4" w15:restartNumberingAfterBreak="0">
    <w:nsid w:val="39400597"/>
    <w:multiLevelType w:val="hybridMultilevel"/>
    <w:tmpl w:val="2CF8AA46"/>
    <w:lvl w:ilvl="0" w:tplc="272C0D6C">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398D1AE0"/>
    <w:multiLevelType w:val="hybridMultilevel"/>
    <w:tmpl w:val="9C8087C8"/>
    <w:lvl w:ilvl="0" w:tplc="C5C83DBA">
      <w:start w:val="1"/>
      <w:numFmt w:val="upperLetter"/>
      <w:lvlText w:val="%1)"/>
      <w:lvlJc w:val="left"/>
      <w:pPr>
        <w:ind w:left="720" w:hanging="360"/>
      </w:pPr>
      <w:rPr>
        <w:rFonts w:hint="default"/>
        <w:color w:val="00000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FB1CC2"/>
    <w:multiLevelType w:val="hybridMultilevel"/>
    <w:tmpl w:val="4CCEE750"/>
    <w:lvl w:ilvl="0" w:tplc="BF083302">
      <w:start w:val="1"/>
      <w:numFmt w:val="lowerRoman"/>
      <w:lvlText w:val="(%1)"/>
      <w:lvlJc w:val="left"/>
      <w:pPr>
        <w:ind w:left="1428" w:hanging="72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7" w15:restartNumberingAfterBreak="0">
    <w:nsid w:val="3DCD3120"/>
    <w:multiLevelType w:val="hybridMultilevel"/>
    <w:tmpl w:val="0160F8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2A97E37"/>
    <w:multiLevelType w:val="hybridMultilevel"/>
    <w:tmpl w:val="3C9457E2"/>
    <w:lvl w:ilvl="0" w:tplc="FB9633B6">
      <w:start w:val="1"/>
      <w:numFmt w:val="lowerLetter"/>
      <w:lvlText w:val="%1)"/>
      <w:lvlJc w:val="left"/>
      <w:pPr>
        <w:ind w:left="1776" w:hanging="360"/>
      </w:pPr>
      <w:rPr>
        <w:rFonts w:eastAsia="Times New Roman" w:cs="Times New Roman" w:hint="default"/>
        <w:b w:val="0"/>
        <w:color w:val="000000" w:themeColor="text1"/>
        <w:u w:val="none"/>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29" w15:restartNumberingAfterBreak="0">
    <w:nsid w:val="47AD7B13"/>
    <w:multiLevelType w:val="hybridMultilevel"/>
    <w:tmpl w:val="2FFE94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F17593"/>
    <w:multiLevelType w:val="hybridMultilevel"/>
    <w:tmpl w:val="C316BAC6"/>
    <w:lvl w:ilvl="0" w:tplc="0CFC5CB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173382"/>
    <w:multiLevelType w:val="hybridMultilevel"/>
    <w:tmpl w:val="B16632A0"/>
    <w:lvl w:ilvl="0" w:tplc="E6084C18">
      <w:start w:val="1"/>
      <w:numFmt w:val="upperLetter"/>
      <w:lvlText w:val="%1)"/>
      <w:lvlJc w:val="left"/>
      <w:pPr>
        <w:ind w:left="644" w:hanging="360"/>
      </w:pPr>
      <w:rPr>
        <w:b/>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2" w15:restartNumberingAfterBreak="0">
    <w:nsid w:val="4D946832"/>
    <w:multiLevelType w:val="hybridMultilevel"/>
    <w:tmpl w:val="9BC8D46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C30068"/>
    <w:multiLevelType w:val="hybridMultilevel"/>
    <w:tmpl w:val="35321980"/>
    <w:lvl w:ilvl="0" w:tplc="2A72B708">
      <w:start w:val="1"/>
      <w:numFmt w:val="lowerLetter"/>
      <w:lvlText w:val="%1)"/>
      <w:lvlJc w:val="left"/>
      <w:pPr>
        <w:ind w:left="720" w:hanging="360"/>
      </w:pPr>
      <w:rPr>
        <w:rFonts w:hint="default"/>
        <w:b/>
        <w:i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E97CC2"/>
    <w:multiLevelType w:val="hybridMultilevel"/>
    <w:tmpl w:val="95AC6B20"/>
    <w:lvl w:ilvl="0" w:tplc="32B810DA">
      <w:start w:val="4"/>
      <w:numFmt w:val="upperRoman"/>
      <w:lvlText w:val="%1)"/>
      <w:lvlJc w:val="left"/>
      <w:pPr>
        <w:ind w:left="1080" w:hanging="72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3E115B"/>
    <w:multiLevelType w:val="hybridMultilevel"/>
    <w:tmpl w:val="C9789536"/>
    <w:lvl w:ilvl="0" w:tplc="5FC68B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45A2"/>
    <w:multiLevelType w:val="hybridMultilevel"/>
    <w:tmpl w:val="9608601E"/>
    <w:lvl w:ilvl="0" w:tplc="F70AD2C4">
      <w:start w:val="1"/>
      <w:numFmt w:val="decimal"/>
      <w:lvlText w:val="%1."/>
      <w:lvlJc w:val="left"/>
      <w:pPr>
        <w:ind w:left="502" w:hanging="360"/>
      </w:pPr>
      <w:rPr>
        <w:rFonts w:asciiTheme="minorHAnsi" w:eastAsia="Times New Roman" w:hAnsiTheme="minorHAnsi" w:cstheme="minorBidi"/>
        <w:color w:val="000000"/>
        <w:u w:val="none"/>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37" w15:restartNumberingAfterBreak="0">
    <w:nsid w:val="5AC20E92"/>
    <w:multiLevelType w:val="hybridMultilevel"/>
    <w:tmpl w:val="50564350"/>
    <w:lvl w:ilvl="0" w:tplc="81B0BDAE">
      <w:start w:val="1"/>
      <w:numFmt w:val="lowerLetter"/>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8" w15:restartNumberingAfterBreak="0">
    <w:nsid w:val="5D3A34D1"/>
    <w:multiLevelType w:val="hybridMultilevel"/>
    <w:tmpl w:val="26F83B5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7E732C"/>
    <w:multiLevelType w:val="hybridMultilevel"/>
    <w:tmpl w:val="046E6B7A"/>
    <w:lvl w:ilvl="0" w:tplc="C92E8B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6B8B054A"/>
    <w:multiLevelType w:val="hybridMultilevel"/>
    <w:tmpl w:val="1196FBAA"/>
    <w:lvl w:ilvl="0" w:tplc="1994C746">
      <w:start w:val="1"/>
      <w:numFmt w:val="upperRoman"/>
      <w:lvlText w:val="%1."/>
      <w:lvlJc w:val="left"/>
      <w:pPr>
        <w:ind w:left="1428" w:hanging="72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41" w15:restartNumberingAfterBreak="0">
    <w:nsid w:val="72AE5789"/>
    <w:multiLevelType w:val="hybridMultilevel"/>
    <w:tmpl w:val="29DAE2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3F3A2C"/>
    <w:multiLevelType w:val="hybridMultilevel"/>
    <w:tmpl w:val="CFB617C6"/>
    <w:lvl w:ilvl="0" w:tplc="AD8C8814">
      <w:start w:val="1"/>
      <w:numFmt w:val="lowerLetter"/>
      <w:lvlText w:val="%1)"/>
      <w:lvlJc w:val="left"/>
      <w:pPr>
        <w:ind w:left="927" w:hanging="360"/>
      </w:pPr>
      <w:rPr>
        <w:rFonts w:hint="default"/>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76D75C63"/>
    <w:multiLevelType w:val="hybridMultilevel"/>
    <w:tmpl w:val="DE18EAD6"/>
    <w:lvl w:ilvl="0" w:tplc="3CC81B26">
      <w:start w:val="1"/>
      <w:numFmt w:val="decimal"/>
      <w:lvlText w:val="%1."/>
      <w:lvlJc w:val="left"/>
      <w:pPr>
        <w:ind w:left="360" w:hanging="360"/>
      </w:pPr>
      <w:rPr>
        <w:rFonts w:cs="Times New Roman" w:hint="default"/>
      </w:rPr>
    </w:lvl>
    <w:lvl w:ilvl="1" w:tplc="040A0019" w:tentative="1">
      <w:start w:val="1"/>
      <w:numFmt w:val="lowerLetter"/>
      <w:lvlText w:val="%2."/>
      <w:lvlJc w:val="left"/>
      <w:pPr>
        <w:ind w:left="1080" w:hanging="360"/>
      </w:pPr>
      <w:rPr>
        <w:rFonts w:cs="Times New Roman"/>
      </w:rPr>
    </w:lvl>
    <w:lvl w:ilvl="2" w:tplc="040A001B" w:tentative="1">
      <w:start w:val="1"/>
      <w:numFmt w:val="lowerRoman"/>
      <w:lvlText w:val="%3."/>
      <w:lvlJc w:val="right"/>
      <w:pPr>
        <w:ind w:left="1800" w:hanging="180"/>
      </w:pPr>
      <w:rPr>
        <w:rFonts w:cs="Times New Roman"/>
      </w:rPr>
    </w:lvl>
    <w:lvl w:ilvl="3" w:tplc="040A000F" w:tentative="1">
      <w:start w:val="1"/>
      <w:numFmt w:val="decimal"/>
      <w:lvlText w:val="%4."/>
      <w:lvlJc w:val="left"/>
      <w:pPr>
        <w:ind w:left="2520" w:hanging="360"/>
      </w:pPr>
      <w:rPr>
        <w:rFonts w:cs="Times New Roman"/>
      </w:rPr>
    </w:lvl>
    <w:lvl w:ilvl="4" w:tplc="040A0019" w:tentative="1">
      <w:start w:val="1"/>
      <w:numFmt w:val="lowerLetter"/>
      <w:lvlText w:val="%5."/>
      <w:lvlJc w:val="left"/>
      <w:pPr>
        <w:ind w:left="3240" w:hanging="360"/>
      </w:pPr>
      <w:rPr>
        <w:rFonts w:cs="Times New Roman"/>
      </w:rPr>
    </w:lvl>
    <w:lvl w:ilvl="5" w:tplc="040A001B" w:tentative="1">
      <w:start w:val="1"/>
      <w:numFmt w:val="lowerRoman"/>
      <w:lvlText w:val="%6."/>
      <w:lvlJc w:val="right"/>
      <w:pPr>
        <w:ind w:left="3960" w:hanging="180"/>
      </w:pPr>
      <w:rPr>
        <w:rFonts w:cs="Times New Roman"/>
      </w:rPr>
    </w:lvl>
    <w:lvl w:ilvl="6" w:tplc="040A000F" w:tentative="1">
      <w:start w:val="1"/>
      <w:numFmt w:val="decimal"/>
      <w:lvlText w:val="%7."/>
      <w:lvlJc w:val="left"/>
      <w:pPr>
        <w:ind w:left="4680" w:hanging="360"/>
      </w:pPr>
      <w:rPr>
        <w:rFonts w:cs="Times New Roman"/>
      </w:rPr>
    </w:lvl>
    <w:lvl w:ilvl="7" w:tplc="040A0019" w:tentative="1">
      <w:start w:val="1"/>
      <w:numFmt w:val="lowerLetter"/>
      <w:lvlText w:val="%8."/>
      <w:lvlJc w:val="left"/>
      <w:pPr>
        <w:ind w:left="5400" w:hanging="360"/>
      </w:pPr>
      <w:rPr>
        <w:rFonts w:cs="Times New Roman"/>
      </w:rPr>
    </w:lvl>
    <w:lvl w:ilvl="8" w:tplc="040A001B" w:tentative="1">
      <w:start w:val="1"/>
      <w:numFmt w:val="lowerRoman"/>
      <w:lvlText w:val="%9."/>
      <w:lvlJc w:val="right"/>
      <w:pPr>
        <w:ind w:left="6120" w:hanging="180"/>
      </w:pPr>
      <w:rPr>
        <w:rFonts w:cs="Times New Roman"/>
      </w:rPr>
    </w:lvl>
  </w:abstractNum>
  <w:abstractNum w:abstractNumId="44" w15:restartNumberingAfterBreak="0">
    <w:nsid w:val="79FC1BA1"/>
    <w:multiLevelType w:val="hybridMultilevel"/>
    <w:tmpl w:val="556C84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C116B35"/>
    <w:multiLevelType w:val="hybridMultilevel"/>
    <w:tmpl w:val="4072C48A"/>
    <w:lvl w:ilvl="0" w:tplc="0C0A000F">
      <w:start w:val="1"/>
      <w:numFmt w:val="decimal"/>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46" w15:restartNumberingAfterBreak="0">
    <w:nsid w:val="7DA91D1E"/>
    <w:multiLevelType w:val="hybridMultilevel"/>
    <w:tmpl w:val="DB90BCD4"/>
    <w:lvl w:ilvl="0" w:tplc="940E4A36">
      <w:start w:val="1"/>
      <w:numFmt w:val="upperLetter"/>
      <w:lvlText w:val="%1)"/>
      <w:lvlJc w:val="left"/>
      <w:pPr>
        <w:ind w:left="495" w:hanging="360"/>
      </w:pPr>
      <w:rPr>
        <w:rFonts w:hint="default"/>
        <w:b/>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num w:numId="1">
    <w:abstractNumId w:val="43"/>
  </w:num>
  <w:num w:numId="2">
    <w:abstractNumId w:val="2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0"/>
  </w:num>
  <w:num w:numId="6">
    <w:abstractNumId w:val="3"/>
  </w:num>
  <w:num w:numId="7">
    <w:abstractNumId w:val="20"/>
  </w:num>
  <w:num w:numId="8">
    <w:abstractNumId w:val="19"/>
  </w:num>
  <w:num w:numId="9">
    <w:abstractNumId w:val="45"/>
  </w:num>
  <w:num w:numId="10">
    <w:abstractNumId w:val="27"/>
  </w:num>
  <w:num w:numId="11">
    <w:abstractNumId w:val="8"/>
  </w:num>
  <w:num w:numId="12">
    <w:abstractNumId w:val="7"/>
  </w:num>
  <w:num w:numId="13">
    <w:abstractNumId w:val="37"/>
  </w:num>
  <w:num w:numId="14">
    <w:abstractNumId w:val="11"/>
  </w:num>
  <w:num w:numId="15">
    <w:abstractNumId w:val="5"/>
  </w:num>
  <w:num w:numId="16">
    <w:abstractNumId w:val="41"/>
  </w:num>
  <w:num w:numId="17">
    <w:abstractNumId w:val="34"/>
  </w:num>
  <w:num w:numId="18">
    <w:abstractNumId w:val="26"/>
  </w:num>
  <w:num w:numId="19">
    <w:abstractNumId w:val="42"/>
  </w:num>
  <w:num w:numId="20">
    <w:abstractNumId w:val="24"/>
  </w:num>
  <w:num w:numId="21">
    <w:abstractNumId w:val="39"/>
  </w:num>
  <w:num w:numId="22">
    <w:abstractNumId w:val="44"/>
  </w:num>
  <w:num w:numId="23">
    <w:abstractNumId w:val="29"/>
  </w:num>
  <w:num w:numId="24">
    <w:abstractNumId w:val="1"/>
  </w:num>
  <w:num w:numId="25">
    <w:abstractNumId w:val="12"/>
  </w:num>
  <w:num w:numId="26">
    <w:abstractNumId w:val="0"/>
  </w:num>
  <w:num w:numId="27">
    <w:abstractNumId w:val="6"/>
  </w:num>
  <w:num w:numId="28">
    <w:abstractNumId w:val="22"/>
  </w:num>
  <w:num w:numId="29">
    <w:abstractNumId w:val="23"/>
  </w:num>
  <w:num w:numId="30">
    <w:abstractNumId w:val="13"/>
  </w:num>
  <w:num w:numId="31">
    <w:abstractNumId w:val="17"/>
  </w:num>
  <w:num w:numId="32">
    <w:abstractNumId w:val="10"/>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6"/>
  </w:num>
  <w:num w:numId="37">
    <w:abstractNumId w:val="9"/>
  </w:num>
  <w:num w:numId="38">
    <w:abstractNumId w:val="4"/>
  </w:num>
  <w:num w:numId="39">
    <w:abstractNumId w:val="15"/>
  </w:num>
  <w:num w:numId="40">
    <w:abstractNumId w:val="25"/>
  </w:num>
  <w:num w:numId="41">
    <w:abstractNumId w:val="46"/>
  </w:num>
  <w:num w:numId="42">
    <w:abstractNumId w:val="2"/>
  </w:num>
  <w:num w:numId="43">
    <w:abstractNumId w:val="30"/>
  </w:num>
  <w:num w:numId="44">
    <w:abstractNumId w:val="38"/>
  </w:num>
  <w:num w:numId="45">
    <w:abstractNumId w:val="32"/>
  </w:num>
  <w:num w:numId="46">
    <w:abstractNumId w:val="14"/>
  </w:num>
  <w:num w:numId="47">
    <w:abstractNumId w:val="3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6D"/>
    <w:rsid w:val="00011190"/>
    <w:rsid w:val="000164EC"/>
    <w:rsid w:val="000240AD"/>
    <w:rsid w:val="00037BBF"/>
    <w:rsid w:val="00052E6D"/>
    <w:rsid w:val="00066603"/>
    <w:rsid w:val="000D53AB"/>
    <w:rsid w:val="000E7406"/>
    <w:rsid w:val="000E74E4"/>
    <w:rsid w:val="00111DFA"/>
    <w:rsid w:val="00136B91"/>
    <w:rsid w:val="0014501A"/>
    <w:rsid w:val="001727E2"/>
    <w:rsid w:val="00187774"/>
    <w:rsid w:val="001A1D83"/>
    <w:rsid w:val="001A58F0"/>
    <w:rsid w:val="001B01F4"/>
    <w:rsid w:val="001B5469"/>
    <w:rsid w:val="001B6DE4"/>
    <w:rsid w:val="001C2D21"/>
    <w:rsid w:val="001F56A2"/>
    <w:rsid w:val="00200418"/>
    <w:rsid w:val="00210C65"/>
    <w:rsid w:val="0021393C"/>
    <w:rsid w:val="00231E8F"/>
    <w:rsid w:val="002378D7"/>
    <w:rsid w:val="00246B81"/>
    <w:rsid w:val="0025754E"/>
    <w:rsid w:val="00265F4D"/>
    <w:rsid w:val="0028342E"/>
    <w:rsid w:val="002A072B"/>
    <w:rsid w:val="002A224E"/>
    <w:rsid w:val="002A2D23"/>
    <w:rsid w:val="002A74B6"/>
    <w:rsid w:val="002B0531"/>
    <w:rsid w:val="002B385B"/>
    <w:rsid w:val="002B43DD"/>
    <w:rsid w:val="002B716F"/>
    <w:rsid w:val="002C39B5"/>
    <w:rsid w:val="002E4194"/>
    <w:rsid w:val="002E5229"/>
    <w:rsid w:val="002E7ED8"/>
    <w:rsid w:val="00327EB3"/>
    <w:rsid w:val="00345332"/>
    <w:rsid w:val="00375C66"/>
    <w:rsid w:val="00385A3D"/>
    <w:rsid w:val="00394887"/>
    <w:rsid w:val="003E630A"/>
    <w:rsid w:val="003F3C6D"/>
    <w:rsid w:val="00403013"/>
    <w:rsid w:val="0040576E"/>
    <w:rsid w:val="004109C8"/>
    <w:rsid w:val="00416D2E"/>
    <w:rsid w:val="004201A5"/>
    <w:rsid w:val="004201E6"/>
    <w:rsid w:val="0042226E"/>
    <w:rsid w:val="00446496"/>
    <w:rsid w:val="00447EC2"/>
    <w:rsid w:val="00456299"/>
    <w:rsid w:val="00463977"/>
    <w:rsid w:val="00463E66"/>
    <w:rsid w:val="0049733B"/>
    <w:rsid w:val="004C3F7A"/>
    <w:rsid w:val="004E3F7D"/>
    <w:rsid w:val="00507888"/>
    <w:rsid w:val="0051658E"/>
    <w:rsid w:val="00551FA6"/>
    <w:rsid w:val="005736BC"/>
    <w:rsid w:val="005845B7"/>
    <w:rsid w:val="00592CB5"/>
    <w:rsid w:val="00596F28"/>
    <w:rsid w:val="005A703A"/>
    <w:rsid w:val="005B09B7"/>
    <w:rsid w:val="005B52A6"/>
    <w:rsid w:val="005B5673"/>
    <w:rsid w:val="005B753F"/>
    <w:rsid w:val="005C04A5"/>
    <w:rsid w:val="005D7BA7"/>
    <w:rsid w:val="005E01C7"/>
    <w:rsid w:val="005F6C67"/>
    <w:rsid w:val="006006D6"/>
    <w:rsid w:val="00601FA1"/>
    <w:rsid w:val="0060380D"/>
    <w:rsid w:val="00614C79"/>
    <w:rsid w:val="00617D70"/>
    <w:rsid w:val="0062633C"/>
    <w:rsid w:val="00633B04"/>
    <w:rsid w:val="006547E0"/>
    <w:rsid w:val="00661B03"/>
    <w:rsid w:val="0068639F"/>
    <w:rsid w:val="006911CC"/>
    <w:rsid w:val="00694238"/>
    <w:rsid w:val="006E4FED"/>
    <w:rsid w:val="006F0E82"/>
    <w:rsid w:val="00707F82"/>
    <w:rsid w:val="00721CE0"/>
    <w:rsid w:val="00725E6D"/>
    <w:rsid w:val="00731160"/>
    <w:rsid w:val="00743C30"/>
    <w:rsid w:val="00763147"/>
    <w:rsid w:val="00783C77"/>
    <w:rsid w:val="007A52CC"/>
    <w:rsid w:val="007B3E25"/>
    <w:rsid w:val="007B5CA9"/>
    <w:rsid w:val="00807062"/>
    <w:rsid w:val="00807A38"/>
    <w:rsid w:val="00807B2F"/>
    <w:rsid w:val="008256CA"/>
    <w:rsid w:val="00833924"/>
    <w:rsid w:val="00840EF4"/>
    <w:rsid w:val="00851357"/>
    <w:rsid w:val="0085167E"/>
    <w:rsid w:val="00872210"/>
    <w:rsid w:val="00874C95"/>
    <w:rsid w:val="008763F4"/>
    <w:rsid w:val="00896A0E"/>
    <w:rsid w:val="008A1F98"/>
    <w:rsid w:val="008B2535"/>
    <w:rsid w:val="008D3EAA"/>
    <w:rsid w:val="00910FDE"/>
    <w:rsid w:val="00920859"/>
    <w:rsid w:val="009332CC"/>
    <w:rsid w:val="00936E4C"/>
    <w:rsid w:val="00965C6C"/>
    <w:rsid w:val="00973109"/>
    <w:rsid w:val="00981302"/>
    <w:rsid w:val="00984FB2"/>
    <w:rsid w:val="009B4354"/>
    <w:rsid w:val="009D1146"/>
    <w:rsid w:val="009D5134"/>
    <w:rsid w:val="009E0EEE"/>
    <w:rsid w:val="009E260F"/>
    <w:rsid w:val="009F001D"/>
    <w:rsid w:val="009F5CE8"/>
    <w:rsid w:val="00A055CE"/>
    <w:rsid w:val="00A16657"/>
    <w:rsid w:val="00A247FA"/>
    <w:rsid w:val="00A26272"/>
    <w:rsid w:val="00A27267"/>
    <w:rsid w:val="00A50005"/>
    <w:rsid w:val="00A50C99"/>
    <w:rsid w:val="00A62D4E"/>
    <w:rsid w:val="00A66868"/>
    <w:rsid w:val="00A70CBA"/>
    <w:rsid w:val="00A9776D"/>
    <w:rsid w:val="00AB77E3"/>
    <w:rsid w:val="00AC798C"/>
    <w:rsid w:val="00AC7FC6"/>
    <w:rsid w:val="00AE01A1"/>
    <w:rsid w:val="00AF5849"/>
    <w:rsid w:val="00B1053B"/>
    <w:rsid w:val="00B33F9B"/>
    <w:rsid w:val="00B35B30"/>
    <w:rsid w:val="00B37D25"/>
    <w:rsid w:val="00B42FFD"/>
    <w:rsid w:val="00B43F0E"/>
    <w:rsid w:val="00B50456"/>
    <w:rsid w:val="00B643EC"/>
    <w:rsid w:val="00B65FCA"/>
    <w:rsid w:val="00B7051F"/>
    <w:rsid w:val="00B730CD"/>
    <w:rsid w:val="00B8140F"/>
    <w:rsid w:val="00B8589A"/>
    <w:rsid w:val="00B86120"/>
    <w:rsid w:val="00BB4729"/>
    <w:rsid w:val="00BB7DEA"/>
    <w:rsid w:val="00BC4087"/>
    <w:rsid w:val="00BC6F09"/>
    <w:rsid w:val="00BE4BD2"/>
    <w:rsid w:val="00BF0882"/>
    <w:rsid w:val="00C27D79"/>
    <w:rsid w:val="00C52A56"/>
    <w:rsid w:val="00C94B70"/>
    <w:rsid w:val="00C965DC"/>
    <w:rsid w:val="00CA096C"/>
    <w:rsid w:val="00CA4A78"/>
    <w:rsid w:val="00CD7A42"/>
    <w:rsid w:val="00CE75C6"/>
    <w:rsid w:val="00CF587C"/>
    <w:rsid w:val="00D00F85"/>
    <w:rsid w:val="00D06524"/>
    <w:rsid w:val="00D31CAF"/>
    <w:rsid w:val="00D875C2"/>
    <w:rsid w:val="00DA0588"/>
    <w:rsid w:val="00DB1530"/>
    <w:rsid w:val="00DB5293"/>
    <w:rsid w:val="00DE0F94"/>
    <w:rsid w:val="00DF1872"/>
    <w:rsid w:val="00DF4F07"/>
    <w:rsid w:val="00E01402"/>
    <w:rsid w:val="00E72B55"/>
    <w:rsid w:val="00E94E89"/>
    <w:rsid w:val="00EA0611"/>
    <w:rsid w:val="00EB58F5"/>
    <w:rsid w:val="00EB6B42"/>
    <w:rsid w:val="00EC42FF"/>
    <w:rsid w:val="00EC5079"/>
    <w:rsid w:val="00ED353D"/>
    <w:rsid w:val="00EE3D93"/>
    <w:rsid w:val="00EF14F5"/>
    <w:rsid w:val="00F01BC5"/>
    <w:rsid w:val="00F145BC"/>
    <w:rsid w:val="00F260BF"/>
    <w:rsid w:val="00F512E7"/>
    <w:rsid w:val="00F651E6"/>
    <w:rsid w:val="00F66024"/>
    <w:rsid w:val="00F95D6B"/>
    <w:rsid w:val="00FB180A"/>
    <w:rsid w:val="00FB1C52"/>
    <w:rsid w:val="00FC57F6"/>
    <w:rsid w:val="00FD032D"/>
    <w:rsid w:val="00FD30CF"/>
    <w:rsid w:val="00FD3EE0"/>
    <w:rsid w:val="00FE1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5933"/>
  <w15:chartTrackingRefBased/>
  <w15:docId w15:val="{44B803E5-4B4D-432D-A181-9F3BEA01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3C6D"/>
    <w:pPr>
      <w:spacing w:after="200" w:line="276" w:lineRule="auto"/>
    </w:pPr>
    <w:rPr>
      <w:rFonts w:eastAsia="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F3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3C6D"/>
    <w:rPr>
      <w:rFonts w:eastAsia="Times New Roman"/>
    </w:rPr>
  </w:style>
  <w:style w:type="paragraph" w:styleId="Prrafodelista">
    <w:name w:val="List Paragraph"/>
    <w:basedOn w:val="Normal"/>
    <w:uiPriority w:val="34"/>
    <w:qFormat/>
    <w:rsid w:val="003F3C6D"/>
    <w:pPr>
      <w:spacing w:after="0" w:line="240" w:lineRule="auto"/>
      <w:ind w:left="720"/>
      <w:contextualSpacing/>
    </w:pPr>
    <w:rPr>
      <w:rFonts w:ascii="Times New Roman" w:hAnsi="Times New Roman" w:cs="Times New Roman"/>
      <w:sz w:val="24"/>
      <w:szCs w:val="24"/>
      <w:lang w:eastAsia="es-ES"/>
    </w:rPr>
  </w:style>
  <w:style w:type="character" w:styleId="Textoennegrita">
    <w:name w:val="Strong"/>
    <w:basedOn w:val="Fuentedeprrafopredeter"/>
    <w:uiPriority w:val="22"/>
    <w:qFormat/>
    <w:rsid w:val="003F3C6D"/>
    <w:rPr>
      <w:rFonts w:cs="Times New Roman"/>
      <w:b/>
      <w:bCs/>
    </w:rPr>
  </w:style>
  <w:style w:type="paragraph" w:styleId="NormalWeb">
    <w:name w:val="Normal (Web)"/>
    <w:basedOn w:val="Normal"/>
    <w:uiPriority w:val="99"/>
    <w:unhideWhenUsed/>
    <w:rsid w:val="003F3C6D"/>
    <w:pPr>
      <w:spacing w:before="100" w:beforeAutospacing="1" w:after="100" w:afterAutospacing="1" w:line="240" w:lineRule="auto"/>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F3C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C6D"/>
    <w:rPr>
      <w:rFonts w:ascii="Tahoma" w:eastAsia="Times New Roman" w:hAnsi="Tahoma" w:cs="Tahoma"/>
      <w:sz w:val="16"/>
      <w:szCs w:val="16"/>
    </w:rPr>
  </w:style>
  <w:style w:type="character" w:customStyle="1" w:styleId="TextoindependienteCar">
    <w:name w:val="Texto independiente Car"/>
    <w:basedOn w:val="Fuentedeprrafopredeter"/>
    <w:link w:val="Textoindependiente"/>
    <w:semiHidden/>
    <w:locked/>
    <w:rsid w:val="003F3C6D"/>
    <w:rPr>
      <w:b/>
      <w:bCs/>
      <w:sz w:val="24"/>
      <w:szCs w:val="24"/>
      <w:u w:val="single"/>
      <w:lang w:eastAsia="es-ES"/>
    </w:rPr>
  </w:style>
  <w:style w:type="paragraph" w:styleId="Textoindependiente">
    <w:name w:val="Body Text"/>
    <w:basedOn w:val="Normal"/>
    <w:link w:val="TextoindependienteCar"/>
    <w:semiHidden/>
    <w:rsid w:val="003F3C6D"/>
    <w:pPr>
      <w:spacing w:after="0" w:line="240" w:lineRule="auto"/>
      <w:jc w:val="center"/>
    </w:pPr>
    <w:rPr>
      <w:rFonts w:eastAsiaTheme="minorHAnsi"/>
      <w:b/>
      <w:bCs/>
      <w:sz w:val="24"/>
      <w:szCs w:val="24"/>
      <w:u w:val="single"/>
      <w:lang w:eastAsia="es-ES"/>
    </w:rPr>
  </w:style>
  <w:style w:type="character" w:customStyle="1" w:styleId="TextoindependienteCar1">
    <w:name w:val="Texto independiente Car1"/>
    <w:basedOn w:val="Fuentedeprrafopredeter"/>
    <w:uiPriority w:val="99"/>
    <w:semiHidden/>
    <w:rsid w:val="003F3C6D"/>
    <w:rPr>
      <w:rFonts w:eastAsia="Times New Roman"/>
    </w:rPr>
  </w:style>
  <w:style w:type="paragraph" w:styleId="Textonotapie">
    <w:name w:val="footnote text"/>
    <w:basedOn w:val="Normal"/>
    <w:link w:val="TextonotapieCar"/>
    <w:uiPriority w:val="99"/>
    <w:semiHidden/>
    <w:unhideWhenUsed/>
    <w:rsid w:val="003F3C6D"/>
    <w:pPr>
      <w:spacing w:after="0" w:line="240" w:lineRule="auto"/>
    </w:pPr>
    <w:rPr>
      <w:rFonts w:ascii="Calibri" w:hAnsi="Calibri" w:cs="Times New Roman"/>
      <w:sz w:val="20"/>
      <w:szCs w:val="20"/>
    </w:rPr>
  </w:style>
  <w:style w:type="character" w:customStyle="1" w:styleId="TextonotapieCar">
    <w:name w:val="Texto nota pie Car"/>
    <w:basedOn w:val="Fuentedeprrafopredeter"/>
    <w:link w:val="Textonotapie"/>
    <w:uiPriority w:val="99"/>
    <w:semiHidden/>
    <w:rsid w:val="003F3C6D"/>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3F3C6D"/>
    <w:rPr>
      <w:rFonts w:cs="Times New Roman"/>
      <w:vertAlign w:val="superscript"/>
    </w:rPr>
  </w:style>
  <w:style w:type="paragraph" w:customStyle="1" w:styleId="c20">
    <w:name w:val="c20"/>
    <w:basedOn w:val="Normal"/>
    <w:rsid w:val="003F3C6D"/>
    <w:pPr>
      <w:autoSpaceDE w:val="0"/>
      <w:autoSpaceDN w:val="0"/>
      <w:adjustRightInd w:val="0"/>
      <w:spacing w:before="100" w:after="100" w:line="240" w:lineRule="auto"/>
    </w:pPr>
    <w:rPr>
      <w:rFonts w:ascii="Arial Unicode MS" w:eastAsia="Arial Unicode MS" w:hAnsi="Times New Roman" w:cs="Times New Roman"/>
      <w:sz w:val="24"/>
      <w:szCs w:val="24"/>
      <w:lang w:eastAsia="es-ES"/>
    </w:rPr>
  </w:style>
  <w:style w:type="paragraph" w:customStyle="1" w:styleId="Default">
    <w:name w:val="Default"/>
    <w:rsid w:val="003F3C6D"/>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CA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854205">
      <w:bodyDiv w:val="1"/>
      <w:marLeft w:val="0"/>
      <w:marRight w:val="0"/>
      <w:marTop w:val="0"/>
      <w:marBottom w:val="0"/>
      <w:divBdr>
        <w:top w:val="none" w:sz="0" w:space="0" w:color="auto"/>
        <w:left w:val="none" w:sz="0" w:space="0" w:color="auto"/>
        <w:bottom w:val="none" w:sz="0" w:space="0" w:color="auto"/>
        <w:right w:val="none" w:sz="0" w:space="0" w:color="auto"/>
      </w:divBdr>
    </w:div>
    <w:div w:id="841626019">
      <w:bodyDiv w:val="1"/>
      <w:marLeft w:val="0"/>
      <w:marRight w:val="0"/>
      <w:marTop w:val="0"/>
      <w:marBottom w:val="0"/>
      <w:divBdr>
        <w:top w:val="none" w:sz="0" w:space="0" w:color="auto"/>
        <w:left w:val="none" w:sz="0" w:space="0" w:color="auto"/>
        <w:bottom w:val="none" w:sz="0" w:space="0" w:color="auto"/>
        <w:right w:val="none" w:sz="0" w:space="0" w:color="auto"/>
      </w:divBdr>
    </w:div>
    <w:div w:id="996305516">
      <w:bodyDiv w:val="1"/>
      <w:marLeft w:val="0"/>
      <w:marRight w:val="0"/>
      <w:marTop w:val="0"/>
      <w:marBottom w:val="0"/>
      <w:divBdr>
        <w:top w:val="none" w:sz="0" w:space="0" w:color="auto"/>
        <w:left w:val="none" w:sz="0" w:space="0" w:color="auto"/>
        <w:bottom w:val="none" w:sz="0" w:space="0" w:color="auto"/>
        <w:right w:val="none" w:sz="0" w:space="0" w:color="auto"/>
      </w:divBdr>
    </w:div>
    <w:div w:id="186177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09FE-D949-4C1E-9F0C-BB080EE8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24</Pages>
  <Words>8478</Words>
  <Characters>48330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Rincón</dc:creator>
  <cp:keywords/>
  <dc:description/>
  <cp:lastModifiedBy>Belén Rincón</cp:lastModifiedBy>
  <cp:revision>23</cp:revision>
  <cp:lastPrinted>2017-05-01T16:32:00Z</cp:lastPrinted>
  <dcterms:created xsi:type="dcterms:W3CDTF">2017-04-27T11:05:00Z</dcterms:created>
  <dcterms:modified xsi:type="dcterms:W3CDTF">2017-05-01T16:41:00Z</dcterms:modified>
</cp:coreProperties>
</file>