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D5" w:rsidRPr="00243355" w:rsidRDefault="00AF5BD5" w:rsidP="00243355">
      <w:pPr>
        <w:jc w:val="both"/>
        <w:rPr>
          <w:rFonts w:ascii="Times New Roman" w:hAnsi="Times New Roman" w:cs="Times New Roman"/>
          <w:sz w:val="28"/>
          <w:szCs w:val="28"/>
        </w:rPr>
      </w:pPr>
      <w:r w:rsidRPr="00243355">
        <w:rPr>
          <w:rFonts w:ascii="Times New Roman" w:hAnsi="Times New Roman" w:cs="Times New Roman"/>
          <w:sz w:val="28"/>
          <w:szCs w:val="28"/>
        </w:rPr>
        <w:t xml:space="preserve">NORMATIVA HIPOTECARIA: </w:t>
      </w:r>
      <w:r w:rsidRPr="00243355">
        <w:rPr>
          <w:rFonts w:ascii="Times New Roman" w:hAnsi="Times New Roman" w:cs="Times New Roman"/>
          <w:sz w:val="28"/>
          <w:szCs w:val="28"/>
        </w:rPr>
        <w:t>CUANDO UN “TIRÓN DE OREJAS” EUROPEO ES BUENO PARA LOS CONSUMIDORES.</w:t>
      </w:r>
    </w:p>
    <w:p w:rsidR="00AF5BD5" w:rsidRPr="00243355" w:rsidRDefault="00AF5BD5" w:rsidP="00243355">
      <w:pPr>
        <w:jc w:val="both"/>
        <w:rPr>
          <w:rFonts w:ascii="Times New Roman" w:hAnsi="Times New Roman" w:cs="Times New Roman"/>
          <w:sz w:val="28"/>
          <w:szCs w:val="28"/>
        </w:rPr>
      </w:pPr>
      <w:r w:rsidRPr="00243355">
        <w:rPr>
          <w:rFonts w:ascii="Times New Roman" w:hAnsi="Times New Roman" w:cs="Times New Roman"/>
          <w:sz w:val="28"/>
          <w:szCs w:val="28"/>
        </w:rPr>
        <w:t xml:space="preserve">La expresión </w:t>
      </w:r>
      <w:r w:rsidRPr="00A805E9">
        <w:rPr>
          <w:rFonts w:ascii="Times New Roman" w:hAnsi="Times New Roman" w:cs="Times New Roman"/>
          <w:b/>
          <w:i/>
          <w:sz w:val="28"/>
          <w:szCs w:val="28"/>
        </w:rPr>
        <w:t>“tirón de orejas”</w:t>
      </w:r>
      <w:r w:rsidRPr="00243355">
        <w:rPr>
          <w:rFonts w:ascii="Times New Roman" w:hAnsi="Times New Roman" w:cs="Times New Roman"/>
          <w:sz w:val="28"/>
          <w:szCs w:val="28"/>
        </w:rPr>
        <w:t xml:space="preserve"> tiene un claro tono negativo, sobre todo para los que tenemos ya cierta edad, e ilustra una </w:t>
      </w:r>
      <w:r w:rsidRPr="00E90F13">
        <w:rPr>
          <w:rFonts w:ascii="Times New Roman" w:hAnsi="Times New Roman" w:cs="Times New Roman"/>
          <w:b/>
          <w:sz w:val="28"/>
          <w:szCs w:val="28"/>
        </w:rPr>
        <w:t>llamada de atención importante</w:t>
      </w:r>
      <w:r w:rsidRPr="00243355">
        <w:rPr>
          <w:rFonts w:ascii="Times New Roman" w:hAnsi="Times New Roman" w:cs="Times New Roman"/>
          <w:sz w:val="28"/>
          <w:szCs w:val="28"/>
        </w:rPr>
        <w:t xml:space="preserve">, incluso “dolorosa”, sobre la cuestión de la que se trate. Hoy la expresión es actualidad en relación con la enésima (y no será la última) corrección que desde organismos europeos judiciales y de gobierno se lleva a cabo de normativa </w:t>
      </w:r>
      <w:r w:rsidR="00E90F13">
        <w:rPr>
          <w:rFonts w:ascii="Times New Roman" w:hAnsi="Times New Roman" w:cs="Times New Roman"/>
          <w:sz w:val="28"/>
          <w:szCs w:val="28"/>
        </w:rPr>
        <w:t xml:space="preserve">española </w:t>
      </w:r>
      <w:r w:rsidRPr="00243355">
        <w:rPr>
          <w:rFonts w:ascii="Times New Roman" w:hAnsi="Times New Roman" w:cs="Times New Roman"/>
          <w:sz w:val="28"/>
          <w:szCs w:val="28"/>
        </w:rPr>
        <w:t xml:space="preserve">en vigor y resoluciones judiciales que la aplican, y </w:t>
      </w:r>
      <w:r w:rsidRPr="00E90F13">
        <w:rPr>
          <w:rFonts w:ascii="Times New Roman" w:hAnsi="Times New Roman" w:cs="Times New Roman"/>
          <w:b/>
          <w:sz w:val="28"/>
          <w:szCs w:val="28"/>
        </w:rPr>
        <w:t>especialmente en relación con nuestra normativa hipotecaria</w:t>
      </w:r>
      <w:r w:rsidRPr="00243355">
        <w:rPr>
          <w:rFonts w:ascii="Times New Roman" w:hAnsi="Times New Roman" w:cs="Times New Roman"/>
          <w:sz w:val="28"/>
          <w:szCs w:val="28"/>
        </w:rPr>
        <w:t>.</w:t>
      </w:r>
    </w:p>
    <w:p w:rsidR="00AF5BD5" w:rsidRPr="00243355" w:rsidRDefault="00AF5BD5" w:rsidP="00243355">
      <w:pPr>
        <w:jc w:val="both"/>
        <w:rPr>
          <w:rFonts w:ascii="Times New Roman" w:hAnsi="Times New Roman" w:cs="Times New Roman"/>
          <w:sz w:val="28"/>
          <w:szCs w:val="28"/>
        </w:rPr>
      </w:pPr>
      <w:r w:rsidRPr="00243355">
        <w:rPr>
          <w:rFonts w:ascii="Times New Roman" w:hAnsi="Times New Roman" w:cs="Times New Roman"/>
          <w:sz w:val="28"/>
          <w:szCs w:val="28"/>
        </w:rPr>
        <w:t xml:space="preserve">Sobradamente conocida es la importante corrección realizada en materia de </w:t>
      </w:r>
      <w:r w:rsidRPr="00E90F13">
        <w:rPr>
          <w:rFonts w:ascii="Times New Roman" w:hAnsi="Times New Roman" w:cs="Times New Roman"/>
          <w:b/>
          <w:sz w:val="28"/>
          <w:szCs w:val="28"/>
        </w:rPr>
        <w:t>“clausula suelo”</w:t>
      </w:r>
      <w:r w:rsidRPr="00243355">
        <w:rPr>
          <w:rFonts w:ascii="Times New Roman" w:hAnsi="Times New Roman" w:cs="Times New Roman"/>
          <w:sz w:val="28"/>
          <w:szCs w:val="28"/>
        </w:rPr>
        <w:t xml:space="preserve"> que vino a modificar la doctrina jurisprudencial de nuestro Tribunal Supremo sobre la materia, la relacionada con otra serie de cláusulas abusivas, como la de </w:t>
      </w:r>
      <w:r w:rsidRPr="00E90F13">
        <w:rPr>
          <w:rFonts w:ascii="Times New Roman" w:hAnsi="Times New Roman" w:cs="Times New Roman"/>
          <w:b/>
          <w:sz w:val="28"/>
          <w:szCs w:val="28"/>
        </w:rPr>
        <w:t>asunción de gastos por parte de los prestatarios</w:t>
      </w:r>
      <w:r w:rsidR="00243355" w:rsidRPr="00243355">
        <w:rPr>
          <w:rFonts w:ascii="Times New Roman" w:hAnsi="Times New Roman" w:cs="Times New Roman"/>
          <w:sz w:val="28"/>
          <w:szCs w:val="28"/>
        </w:rPr>
        <w:t xml:space="preserve"> (que va a generar miles de reclamaciones sobre esta materia contra la banca) u otras como las de intereses de </w:t>
      </w:r>
      <w:r w:rsidR="00243355" w:rsidRPr="00E90F13">
        <w:rPr>
          <w:rFonts w:ascii="Times New Roman" w:hAnsi="Times New Roman" w:cs="Times New Roman"/>
          <w:b/>
          <w:sz w:val="28"/>
          <w:szCs w:val="28"/>
        </w:rPr>
        <w:t>demora abusivos</w:t>
      </w:r>
      <w:r w:rsidR="00243355" w:rsidRPr="00243355">
        <w:rPr>
          <w:rFonts w:ascii="Times New Roman" w:hAnsi="Times New Roman" w:cs="Times New Roman"/>
          <w:sz w:val="28"/>
          <w:szCs w:val="28"/>
        </w:rPr>
        <w:t xml:space="preserve">, </w:t>
      </w:r>
      <w:r w:rsidR="00243355" w:rsidRPr="00E90F13">
        <w:rPr>
          <w:rFonts w:ascii="Times New Roman" w:hAnsi="Times New Roman" w:cs="Times New Roman"/>
          <w:b/>
          <w:sz w:val="28"/>
          <w:szCs w:val="28"/>
        </w:rPr>
        <w:t>cálculo de intereses utilizando el año “comercial”</w:t>
      </w:r>
      <w:r w:rsidR="00243355" w:rsidRPr="00243355">
        <w:rPr>
          <w:rFonts w:ascii="Times New Roman" w:hAnsi="Times New Roman" w:cs="Times New Roman"/>
          <w:sz w:val="28"/>
          <w:szCs w:val="28"/>
        </w:rPr>
        <w:t xml:space="preserve"> o las de </w:t>
      </w:r>
      <w:r w:rsidR="00243355" w:rsidRPr="00E90F13">
        <w:rPr>
          <w:rFonts w:ascii="Times New Roman" w:hAnsi="Times New Roman" w:cs="Times New Roman"/>
          <w:b/>
          <w:sz w:val="28"/>
          <w:szCs w:val="28"/>
        </w:rPr>
        <w:t>vencimiento anticipado</w:t>
      </w:r>
      <w:r w:rsidR="00243355" w:rsidRPr="00243355">
        <w:rPr>
          <w:rFonts w:ascii="Times New Roman" w:hAnsi="Times New Roman" w:cs="Times New Roman"/>
          <w:sz w:val="28"/>
          <w:szCs w:val="28"/>
        </w:rPr>
        <w:t xml:space="preserve"> entre otra</w:t>
      </w:r>
      <w:r w:rsidR="00E90F13">
        <w:rPr>
          <w:rFonts w:ascii="Times New Roman" w:hAnsi="Times New Roman" w:cs="Times New Roman"/>
          <w:sz w:val="28"/>
          <w:szCs w:val="28"/>
        </w:rPr>
        <w:t>s</w:t>
      </w:r>
      <w:r w:rsidR="00243355" w:rsidRPr="00243355">
        <w:rPr>
          <w:rFonts w:ascii="Times New Roman" w:hAnsi="Times New Roman" w:cs="Times New Roman"/>
          <w:sz w:val="28"/>
          <w:szCs w:val="28"/>
        </w:rPr>
        <w:t>, esta última especialmente importante en relación con las situaciones de crisis familiares y la imposibilidad de pago de la hipoteca y la consiguiente pérdida de la vivienda familiar.</w:t>
      </w:r>
    </w:p>
    <w:p w:rsidR="00AF5BD5" w:rsidRPr="00243355" w:rsidRDefault="00243355" w:rsidP="00243355">
      <w:pPr>
        <w:jc w:val="both"/>
        <w:rPr>
          <w:rFonts w:ascii="Times New Roman" w:hAnsi="Times New Roman" w:cs="Times New Roman"/>
          <w:sz w:val="28"/>
          <w:szCs w:val="28"/>
        </w:rPr>
      </w:pPr>
      <w:r w:rsidRPr="00243355">
        <w:rPr>
          <w:rFonts w:ascii="Times New Roman" w:hAnsi="Times New Roman" w:cs="Times New Roman"/>
          <w:sz w:val="28"/>
          <w:szCs w:val="28"/>
        </w:rPr>
        <w:t xml:space="preserve">Todos estos elementos son los que me llevan a </w:t>
      </w:r>
      <w:r w:rsidRPr="00E90F13">
        <w:rPr>
          <w:rFonts w:ascii="Times New Roman" w:hAnsi="Times New Roman" w:cs="Times New Roman"/>
          <w:b/>
          <w:sz w:val="28"/>
          <w:szCs w:val="28"/>
        </w:rPr>
        <w:t>valorar a la inversa</w:t>
      </w:r>
      <w:r w:rsidRPr="00243355">
        <w:rPr>
          <w:rFonts w:ascii="Times New Roman" w:hAnsi="Times New Roman" w:cs="Times New Roman"/>
          <w:sz w:val="28"/>
          <w:szCs w:val="28"/>
        </w:rPr>
        <w:t xml:space="preserve"> la expresión “tirón de orejas”</w:t>
      </w:r>
      <w:r>
        <w:rPr>
          <w:rFonts w:ascii="Times New Roman" w:hAnsi="Times New Roman" w:cs="Times New Roman"/>
          <w:sz w:val="28"/>
          <w:szCs w:val="28"/>
        </w:rPr>
        <w:t xml:space="preserve">, porque sin duda en todos estos casos que mencionamos, con la </w:t>
      </w:r>
      <w:r w:rsidRPr="00E90F13">
        <w:rPr>
          <w:rFonts w:ascii="Times New Roman" w:hAnsi="Times New Roman" w:cs="Times New Roman"/>
          <w:b/>
          <w:sz w:val="28"/>
          <w:szCs w:val="28"/>
        </w:rPr>
        <w:t>recuperación de su dinero</w:t>
      </w:r>
      <w:r>
        <w:rPr>
          <w:rFonts w:ascii="Times New Roman" w:hAnsi="Times New Roman" w:cs="Times New Roman"/>
          <w:sz w:val="28"/>
          <w:szCs w:val="28"/>
        </w:rPr>
        <w:t xml:space="preserve"> tanto por las cláusulas suelo como por los gastos por parte de los hipotecados, la </w:t>
      </w:r>
      <w:r w:rsidRPr="00E90F13">
        <w:rPr>
          <w:rFonts w:ascii="Times New Roman" w:hAnsi="Times New Roman" w:cs="Times New Roman"/>
          <w:b/>
          <w:sz w:val="28"/>
          <w:szCs w:val="28"/>
        </w:rPr>
        <w:t>no aplicación de intereses de demora desproporcionados</w:t>
      </w:r>
      <w:r>
        <w:rPr>
          <w:rFonts w:ascii="Times New Roman" w:hAnsi="Times New Roman" w:cs="Times New Roman"/>
          <w:sz w:val="28"/>
          <w:szCs w:val="28"/>
        </w:rPr>
        <w:t xml:space="preserve">, la </w:t>
      </w:r>
      <w:r w:rsidRPr="00E90F13">
        <w:rPr>
          <w:rFonts w:ascii="Times New Roman" w:hAnsi="Times New Roman" w:cs="Times New Roman"/>
          <w:b/>
          <w:sz w:val="28"/>
          <w:szCs w:val="28"/>
        </w:rPr>
        <w:t>paralización e incluso archivo de procedimientos de ejecución hipotecaria</w:t>
      </w:r>
      <w:r>
        <w:rPr>
          <w:rFonts w:ascii="Times New Roman" w:hAnsi="Times New Roman" w:cs="Times New Roman"/>
          <w:sz w:val="28"/>
          <w:szCs w:val="28"/>
        </w:rPr>
        <w:t xml:space="preserve">, incluso la posibilidad de </w:t>
      </w:r>
      <w:r w:rsidRPr="00E90F13">
        <w:rPr>
          <w:rFonts w:ascii="Times New Roman" w:hAnsi="Times New Roman" w:cs="Times New Roman"/>
          <w:b/>
          <w:sz w:val="28"/>
          <w:szCs w:val="28"/>
        </w:rPr>
        <w:t>aumentar el nivel de protección que los propios jueces pueden proporcionar</w:t>
      </w:r>
      <w:r>
        <w:rPr>
          <w:rFonts w:ascii="Times New Roman" w:hAnsi="Times New Roman" w:cs="Times New Roman"/>
          <w:sz w:val="28"/>
          <w:szCs w:val="28"/>
        </w:rPr>
        <w:t xml:space="preserve"> a “la parte contratante más débil” revisando de oficio las cláusulas abusivas de los préstamos hipotecarios, </w:t>
      </w:r>
      <w:r w:rsidRPr="00E90F13">
        <w:rPr>
          <w:rFonts w:ascii="Times New Roman" w:hAnsi="Times New Roman" w:cs="Times New Roman"/>
          <w:b/>
          <w:sz w:val="28"/>
          <w:szCs w:val="28"/>
        </w:rPr>
        <w:t>son todo efectos positivos de la llamada de atención</w:t>
      </w:r>
      <w:r>
        <w:rPr>
          <w:rFonts w:ascii="Times New Roman" w:hAnsi="Times New Roman" w:cs="Times New Roman"/>
          <w:sz w:val="28"/>
          <w:szCs w:val="28"/>
        </w:rPr>
        <w:t xml:space="preserve">, de las “amenazas” europeas, y poder con ello crear un </w:t>
      </w:r>
      <w:r w:rsidRPr="00E90F13">
        <w:rPr>
          <w:rFonts w:ascii="Times New Roman" w:hAnsi="Times New Roman" w:cs="Times New Roman"/>
          <w:b/>
          <w:sz w:val="28"/>
          <w:szCs w:val="28"/>
        </w:rPr>
        <w:t>mercado de crédito hipotecario europeo que proteja por igual a todos los ciudadanos</w:t>
      </w:r>
      <w:r>
        <w:rPr>
          <w:rFonts w:ascii="Times New Roman" w:hAnsi="Times New Roman" w:cs="Times New Roman"/>
          <w:sz w:val="28"/>
          <w:szCs w:val="28"/>
        </w:rPr>
        <w:t>, cosa que hoy no ocurre en España</w:t>
      </w:r>
      <w:r w:rsidR="00A805E9">
        <w:rPr>
          <w:rFonts w:ascii="Times New Roman" w:hAnsi="Times New Roman" w:cs="Times New Roman"/>
          <w:sz w:val="28"/>
          <w:szCs w:val="28"/>
        </w:rPr>
        <w:t>, y de paso, que esa unificación beneficie la competencia en el mercado hipotecario y abarate estos productos como consecuencia. Pero de eso ya hablaremos otro día…</w:t>
      </w:r>
      <w:bookmarkStart w:id="0" w:name="_GoBack"/>
      <w:bookmarkEnd w:id="0"/>
    </w:p>
    <w:p w:rsidR="00243355" w:rsidRPr="00243355" w:rsidRDefault="00243355">
      <w:pPr>
        <w:jc w:val="both"/>
        <w:rPr>
          <w:rFonts w:ascii="Times New Roman" w:hAnsi="Times New Roman" w:cs="Times New Roman"/>
          <w:sz w:val="28"/>
          <w:szCs w:val="28"/>
        </w:rPr>
      </w:pPr>
    </w:p>
    <w:sectPr w:rsidR="00243355" w:rsidRPr="002433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D5"/>
    <w:rsid w:val="00243355"/>
    <w:rsid w:val="0099701F"/>
    <w:rsid w:val="00A805E9"/>
    <w:rsid w:val="00AF5BD5"/>
    <w:rsid w:val="00E90F13"/>
    <w:rsid w:val="00F5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2</cp:revision>
  <dcterms:created xsi:type="dcterms:W3CDTF">2017-05-03T10:33:00Z</dcterms:created>
  <dcterms:modified xsi:type="dcterms:W3CDTF">2017-05-03T11:15:00Z</dcterms:modified>
</cp:coreProperties>
</file>